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29CE" w14:textId="77777777" w:rsidR="00D91B69" w:rsidRDefault="00D91B69" w:rsidP="00D91B69">
      <w:pPr>
        <w:tabs>
          <w:tab w:val="left" w:pos="0"/>
        </w:tabs>
        <w:suppressAutoHyphens/>
        <w:ind w:right="-360"/>
        <w:jc w:val="center"/>
        <w:rPr>
          <w:b/>
        </w:rPr>
      </w:pPr>
    </w:p>
    <w:p w14:paraId="07FEBB80" w14:textId="77777777" w:rsidR="00D91B69" w:rsidRDefault="00D91B69" w:rsidP="00D91B69">
      <w:pPr>
        <w:tabs>
          <w:tab w:val="left" w:pos="0"/>
        </w:tabs>
        <w:suppressAutoHyphens/>
        <w:ind w:right="-360"/>
        <w:jc w:val="center"/>
        <w:rPr>
          <w:b/>
        </w:rPr>
      </w:pPr>
      <w:r>
        <w:rPr>
          <w:b/>
        </w:rPr>
        <w:t>UNITED STATES BANKRUPTCY COURT</w:t>
      </w:r>
    </w:p>
    <w:p w14:paraId="526BD41F" w14:textId="77777777" w:rsidR="00D91B69" w:rsidRDefault="00D91B69" w:rsidP="00D91B69">
      <w:pPr>
        <w:pStyle w:val="PlainText"/>
        <w:ind w:right="-360"/>
        <w:jc w:val="center"/>
        <w:rPr>
          <w:rFonts w:ascii="Times New Roman" w:hAnsi="Times New Roman"/>
          <w:b/>
          <w:sz w:val="24"/>
        </w:rPr>
      </w:pPr>
      <w:r>
        <w:rPr>
          <w:rFonts w:ascii="Times New Roman" w:hAnsi="Times New Roman"/>
          <w:b/>
          <w:sz w:val="24"/>
        </w:rPr>
        <w:t xml:space="preserve">DISTRICT OF SOUTH CAROLINA </w:t>
      </w:r>
    </w:p>
    <w:p w14:paraId="0DB59310" w14:textId="77777777" w:rsidR="00D91B69" w:rsidRPr="00AB2F9F" w:rsidRDefault="00D91B69" w:rsidP="00D91B69">
      <w:pPr>
        <w:pStyle w:val="p"/>
        <w:jc w:val="center"/>
        <w:rPr>
          <w:sz w:val="24"/>
          <w:szCs w:val="24"/>
        </w:rPr>
      </w:pPr>
    </w:p>
    <w:tbl>
      <w:tblPr>
        <w:tblW w:w="9045" w:type="dxa"/>
        <w:tblLayout w:type="fixed"/>
        <w:tblLook w:val="04A0" w:firstRow="1" w:lastRow="0" w:firstColumn="1" w:lastColumn="0" w:noHBand="0" w:noVBand="1"/>
      </w:tblPr>
      <w:tblGrid>
        <w:gridCol w:w="4575"/>
        <w:gridCol w:w="4470"/>
      </w:tblGrid>
      <w:tr w:rsidR="00D91B69" w:rsidRPr="00AB2F9F" w14:paraId="24C3BD76" w14:textId="77777777" w:rsidTr="007C1658">
        <w:tc>
          <w:tcPr>
            <w:tcW w:w="4575" w:type="dxa"/>
            <w:tcBorders>
              <w:top w:val="nil"/>
              <w:left w:val="nil"/>
              <w:bottom w:val="single" w:sz="6" w:space="0" w:color="auto"/>
              <w:right w:val="single" w:sz="6" w:space="0" w:color="auto"/>
            </w:tcBorders>
            <w:hideMark/>
          </w:tcPr>
          <w:p w14:paraId="09D79293" w14:textId="77777777" w:rsidR="00D91B69" w:rsidRPr="00AB2F9F" w:rsidRDefault="00D91B69" w:rsidP="007C1658">
            <w:pPr>
              <w:pStyle w:val="p"/>
              <w:rPr>
                <w:sz w:val="24"/>
                <w:szCs w:val="24"/>
              </w:rPr>
            </w:pPr>
            <w:r w:rsidRPr="00AB2F9F">
              <w:rPr>
                <w:sz w:val="24"/>
                <w:szCs w:val="24"/>
              </w:rPr>
              <w:t>IN RE:</w:t>
            </w:r>
          </w:p>
          <w:p w14:paraId="2E1EC900" w14:textId="77777777" w:rsidR="00D91B69" w:rsidRPr="00AB2F9F" w:rsidRDefault="00D91B69" w:rsidP="007C1658">
            <w:pPr>
              <w:pStyle w:val="p"/>
              <w:rPr>
                <w:sz w:val="24"/>
                <w:szCs w:val="24"/>
              </w:rPr>
            </w:pPr>
            <w:r w:rsidRPr="00AB2F9F">
              <w:rPr>
                <w:sz w:val="24"/>
                <w:szCs w:val="24"/>
              </w:rPr>
              <w:t> </w:t>
            </w:r>
          </w:p>
          <w:p w14:paraId="6E11D64B" w14:textId="77777777" w:rsidR="00D91B69" w:rsidRPr="00AB2F9F" w:rsidRDefault="00D91B69" w:rsidP="007C1658">
            <w:pPr>
              <w:pStyle w:val="p"/>
              <w:rPr>
                <w:sz w:val="24"/>
                <w:szCs w:val="24"/>
              </w:rPr>
            </w:pPr>
            <w:r w:rsidRPr="00AB2F9F">
              <w:rPr>
                <w:sz w:val="24"/>
                <w:szCs w:val="24"/>
              </w:rPr>
              <w:t> </w:t>
            </w:r>
          </w:p>
          <w:p w14:paraId="3D56FE85" w14:textId="77777777" w:rsidR="00D91B69" w:rsidRPr="00AB2F9F" w:rsidRDefault="00D91B69" w:rsidP="007C1658">
            <w:pPr>
              <w:pStyle w:val="p"/>
              <w:rPr>
                <w:sz w:val="24"/>
                <w:szCs w:val="24"/>
              </w:rPr>
            </w:pPr>
            <w:r w:rsidRPr="00AB2F9F">
              <w:rPr>
                <w:sz w:val="24"/>
                <w:szCs w:val="24"/>
              </w:rPr>
              <w:t> </w:t>
            </w:r>
          </w:p>
          <w:p w14:paraId="4D6F1725" w14:textId="77777777" w:rsidR="00D91B69" w:rsidRPr="00AB2F9F" w:rsidRDefault="00D91B69" w:rsidP="007C1658">
            <w:pPr>
              <w:pStyle w:val="p"/>
              <w:rPr>
                <w:sz w:val="24"/>
                <w:szCs w:val="24"/>
              </w:rPr>
            </w:pPr>
            <w:r w:rsidRPr="00AB2F9F">
              <w:rPr>
                <w:sz w:val="24"/>
                <w:szCs w:val="24"/>
              </w:rPr>
              <w:t> </w:t>
            </w:r>
          </w:p>
          <w:p w14:paraId="39D7D6AF" w14:textId="77777777" w:rsidR="00D91B69" w:rsidRPr="00AB2F9F" w:rsidRDefault="00D91B69" w:rsidP="007C1658">
            <w:pPr>
              <w:pStyle w:val="p"/>
              <w:jc w:val="right"/>
              <w:rPr>
                <w:sz w:val="24"/>
                <w:szCs w:val="24"/>
              </w:rPr>
            </w:pPr>
            <w:r w:rsidRPr="00AB2F9F">
              <w:rPr>
                <w:sz w:val="24"/>
                <w:szCs w:val="24"/>
              </w:rPr>
              <w:t>DEBTOR(S)</w:t>
            </w:r>
          </w:p>
        </w:tc>
        <w:tc>
          <w:tcPr>
            <w:tcW w:w="4470" w:type="dxa"/>
            <w:hideMark/>
          </w:tcPr>
          <w:p w14:paraId="2853D529" w14:textId="77777777" w:rsidR="00D91B69" w:rsidRPr="00AB2F9F" w:rsidRDefault="00D91B69" w:rsidP="007C1658">
            <w:pPr>
              <w:pStyle w:val="p"/>
              <w:rPr>
                <w:sz w:val="24"/>
                <w:szCs w:val="24"/>
              </w:rPr>
            </w:pPr>
            <w:r w:rsidRPr="00AB2F9F">
              <w:rPr>
                <w:sz w:val="24"/>
                <w:szCs w:val="24"/>
              </w:rPr>
              <w:t xml:space="preserve">CASE NO: </w:t>
            </w:r>
          </w:p>
          <w:p w14:paraId="33255AB7" w14:textId="77777777" w:rsidR="00D91B69" w:rsidRPr="00AB2F9F" w:rsidRDefault="00D91B69" w:rsidP="007C1658">
            <w:pPr>
              <w:pStyle w:val="p"/>
              <w:rPr>
                <w:sz w:val="24"/>
                <w:szCs w:val="24"/>
              </w:rPr>
            </w:pPr>
            <w:r w:rsidRPr="00AB2F9F">
              <w:rPr>
                <w:sz w:val="24"/>
                <w:szCs w:val="24"/>
              </w:rPr>
              <w:t>CHAPTER:</w:t>
            </w:r>
          </w:p>
          <w:p w14:paraId="3B15E9A2" w14:textId="77777777" w:rsidR="00D91B69" w:rsidRPr="00AB2F9F" w:rsidRDefault="00D91B69" w:rsidP="007C1658">
            <w:pPr>
              <w:pStyle w:val="p"/>
              <w:rPr>
                <w:sz w:val="24"/>
                <w:szCs w:val="24"/>
              </w:rPr>
            </w:pPr>
            <w:r w:rsidRPr="00AB2F9F">
              <w:rPr>
                <w:sz w:val="24"/>
                <w:szCs w:val="24"/>
              </w:rPr>
              <w:t> </w:t>
            </w:r>
          </w:p>
          <w:p w14:paraId="52B0CCCF" w14:textId="77777777" w:rsidR="00D91B69" w:rsidRPr="00AB2F9F" w:rsidRDefault="00D91B69" w:rsidP="007C1658">
            <w:pPr>
              <w:pStyle w:val="p"/>
              <w:jc w:val="center"/>
              <w:rPr>
                <w:sz w:val="24"/>
                <w:szCs w:val="24"/>
              </w:rPr>
            </w:pPr>
            <w:r>
              <w:rPr>
                <w:sz w:val="24"/>
                <w:szCs w:val="24"/>
              </w:rPr>
              <w:t>ORDER WAIVING REQUIREMENTS OF                              11 U.S.C. § 1328(g)(1)</w:t>
            </w:r>
          </w:p>
          <w:p w14:paraId="63ADFCAF" w14:textId="77777777" w:rsidR="00D91B69" w:rsidRPr="00AB2F9F" w:rsidRDefault="00D91B69" w:rsidP="007C1658">
            <w:pPr>
              <w:pStyle w:val="p"/>
              <w:jc w:val="center"/>
              <w:rPr>
                <w:sz w:val="24"/>
                <w:szCs w:val="24"/>
              </w:rPr>
            </w:pPr>
          </w:p>
        </w:tc>
      </w:tr>
    </w:tbl>
    <w:p w14:paraId="04482353" w14:textId="77777777" w:rsidR="00D91B69" w:rsidRDefault="00D91B69" w:rsidP="00D91B69">
      <w:pPr>
        <w:tabs>
          <w:tab w:val="left" w:pos="0"/>
        </w:tabs>
        <w:suppressAutoHyphens/>
        <w:ind w:right="-360"/>
      </w:pPr>
    </w:p>
    <w:p w14:paraId="5E7FD741" w14:textId="77777777" w:rsidR="00D91B69" w:rsidRDefault="00D91B69" w:rsidP="00D91B69">
      <w:pPr>
        <w:tabs>
          <w:tab w:val="left" w:pos="0"/>
        </w:tabs>
        <w:suppressAutoHyphens/>
        <w:ind w:right="-360"/>
      </w:pPr>
    </w:p>
    <w:p w14:paraId="6971C9FA" w14:textId="77777777" w:rsidR="00D91B69" w:rsidRDefault="00D91B69" w:rsidP="00D91B69">
      <w:pPr>
        <w:tabs>
          <w:tab w:val="left" w:pos="0"/>
        </w:tabs>
        <w:suppressAutoHyphens/>
        <w:ind w:right="-360"/>
      </w:pPr>
      <w:r>
        <w:t>Debtor(s) requested a determination of the inability to complete the requirements of 11 U.S.C. § 1328(g)(1) for one of the reasons set forth in 11 U.S.C. § 109(h)(4). Notice of the motion was provided to the Chapter 13 Trustee and no objection was filed. It appears from documentation accompanying the motion that relief is proper and that no further notice or hearing is appropriate under the circumstances. Therefore,</w:t>
      </w:r>
    </w:p>
    <w:p w14:paraId="4D5E7534" w14:textId="77777777" w:rsidR="00D91B69" w:rsidRDefault="00D91B69" w:rsidP="00D91B69">
      <w:pPr>
        <w:tabs>
          <w:tab w:val="left" w:pos="0"/>
        </w:tabs>
        <w:suppressAutoHyphens/>
        <w:ind w:right="-360"/>
      </w:pPr>
    </w:p>
    <w:p w14:paraId="3BC32F9F" w14:textId="77777777" w:rsidR="00D91B69" w:rsidRDefault="00D91B69" w:rsidP="00D91B69">
      <w:pPr>
        <w:tabs>
          <w:tab w:val="left" w:pos="0"/>
        </w:tabs>
        <w:suppressAutoHyphens/>
        <w:ind w:right="-360"/>
      </w:pPr>
      <w:r>
        <w:t>IT IS ORDERED that the requirements of 11 U.S.C. § 1328(g)(1) are waived as to _________________________.</w:t>
      </w:r>
    </w:p>
    <w:p w14:paraId="4A06B789" w14:textId="77777777" w:rsidR="00D91B69" w:rsidRDefault="00D91B69" w:rsidP="00D91B69">
      <w:pPr>
        <w:tabs>
          <w:tab w:val="left" w:pos="0"/>
        </w:tabs>
        <w:suppressAutoHyphens/>
        <w:ind w:right="-360"/>
      </w:pPr>
    </w:p>
    <w:p w14:paraId="7EBBD543" w14:textId="77777777" w:rsidR="00D91B69" w:rsidRDefault="00D91B69" w:rsidP="00D91B69">
      <w:pPr>
        <w:tabs>
          <w:tab w:val="left" w:pos="0"/>
        </w:tabs>
        <w:suppressAutoHyphens/>
        <w:ind w:right="-360"/>
      </w:pPr>
      <w:r>
        <w:t>AND IT IS SO ORDERED.</w:t>
      </w:r>
    </w:p>
    <w:p w14:paraId="06F16B05" w14:textId="77777777" w:rsidR="00D91B69" w:rsidRDefault="00D91B69" w:rsidP="00D91B69">
      <w:pPr>
        <w:tabs>
          <w:tab w:val="left" w:pos="0"/>
        </w:tabs>
        <w:suppressAutoHyphens/>
        <w:ind w:right="-360"/>
      </w:pPr>
    </w:p>
    <w:p w14:paraId="76A36612" w14:textId="77777777" w:rsidR="00D91B69" w:rsidRDefault="00D91B69" w:rsidP="00D91B69"/>
    <w:p w14:paraId="56A29E2B" w14:textId="77777777" w:rsidR="008302D3" w:rsidRDefault="00D91B69"/>
    <w:sectPr w:rsidR="008302D3" w:rsidSect="00FA459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6795"/>
      <w:docPartObj>
        <w:docPartGallery w:val="Page Numbers (Bottom of Page)"/>
        <w:docPartUnique/>
      </w:docPartObj>
    </w:sdtPr>
    <w:sdtEndPr>
      <w:rPr>
        <w:noProof/>
      </w:rPr>
    </w:sdtEndPr>
    <w:sdtContent>
      <w:p w14:paraId="758FB6C6" w14:textId="77777777" w:rsidR="00FA4594" w:rsidRDefault="00D91B69">
        <w:pPr>
          <w:pStyle w:val="Footer"/>
          <w:jc w:val="center"/>
        </w:pPr>
        <w:r>
          <w:fldChar w:fldCharType="begin"/>
        </w:r>
        <w:r>
          <w:instrText xml:space="preserve"> PAGE   \* M</w:instrText>
        </w:r>
        <w:r>
          <w:instrText xml:space="preserve">ERGEFORMAT </w:instrText>
        </w:r>
        <w:r>
          <w:fldChar w:fldCharType="separate"/>
        </w:r>
        <w:r>
          <w:rPr>
            <w:noProof/>
          </w:rPr>
          <w:t>2</w:t>
        </w:r>
        <w:r>
          <w:rPr>
            <w:noProof/>
          </w:rPr>
          <w:fldChar w:fldCharType="end"/>
        </w:r>
      </w:p>
    </w:sdtContent>
  </w:sdt>
  <w:p w14:paraId="2563BC0C" w14:textId="77777777" w:rsidR="00FA4594" w:rsidRDefault="00D91B6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F17"/>
    <w:multiLevelType w:val="hybridMultilevel"/>
    <w:tmpl w:val="375418EA"/>
    <w:lvl w:ilvl="0" w:tplc="8EDAE74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69"/>
    <w:rsid w:val="00067A84"/>
    <w:rsid w:val="00082907"/>
    <w:rsid w:val="000A2E22"/>
    <w:rsid w:val="002251FF"/>
    <w:rsid w:val="008C0AC0"/>
    <w:rsid w:val="008D4441"/>
    <w:rsid w:val="009923C5"/>
    <w:rsid w:val="00D91B69"/>
    <w:rsid w:val="00D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0279"/>
  <w15:chartTrackingRefBased/>
  <w15:docId w15:val="{4A2AF4CB-BA2E-4C56-B292-32503A35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6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91B69"/>
    <w:pPr>
      <w:spacing w:before="224" w:after="224" w:line="240" w:lineRule="auto"/>
    </w:pPr>
    <w:rPr>
      <w:rFonts w:eastAsia="Times New Roman"/>
      <w:color w:val="000000"/>
      <w:sz w:val="20"/>
      <w:szCs w:val="20"/>
    </w:rPr>
  </w:style>
  <w:style w:type="paragraph" w:customStyle="1" w:styleId="pNormalWeb">
    <w:name w:val="p_NormalWeb"/>
    <w:rsid w:val="00D91B69"/>
    <w:pPr>
      <w:spacing w:before="224" w:after="224" w:line="240" w:lineRule="auto"/>
    </w:pPr>
    <w:rPr>
      <w:rFonts w:eastAsia="Times New Roman"/>
      <w:color w:val="000000"/>
      <w:sz w:val="20"/>
      <w:szCs w:val="20"/>
    </w:rPr>
  </w:style>
  <w:style w:type="paragraph" w:customStyle="1" w:styleId="td">
    <w:name w:val="td"/>
    <w:rsid w:val="00D91B69"/>
    <w:pPr>
      <w:spacing w:after="0" w:line="240" w:lineRule="auto"/>
    </w:pPr>
    <w:rPr>
      <w:rFonts w:eastAsia="Times New Roman"/>
      <w:color w:val="000000"/>
      <w:sz w:val="20"/>
      <w:szCs w:val="20"/>
    </w:rPr>
  </w:style>
  <w:style w:type="paragraph" w:styleId="PlainText">
    <w:name w:val="Plain Text"/>
    <w:basedOn w:val="Normal"/>
    <w:link w:val="PlainTextChar"/>
    <w:unhideWhenUsed/>
    <w:rsid w:val="00D91B69"/>
    <w:rPr>
      <w:rFonts w:ascii="Courier New" w:hAnsi="Courier New"/>
      <w:sz w:val="20"/>
      <w:szCs w:val="20"/>
    </w:rPr>
  </w:style>
  <w:style w:type="character" w:customStyle="1" w:styleId="PlainTextChar">
    <w:name w:val="Plain Text Char"/>
    <w:basedOn w:val="DefaultParagraphFont"/>
    <w:link w:val="PlainText"/>
    <w:rsid w:val="00D91B69"/>
    <w:rPr>
      <w:rFonts w:ascii="Courier New" w:eastAsia="Times New Roman" w:hAnsi="Courier New"/>
      <w:sz w:val="20"/>
      <w:szCs w:val="20"/>
    </w:rPr>
  </w:style>
  <w:style w:type="character" w:customStyle="1" w:styleId="u">
    <w:name w:val="u"/>
    <w:rsid w:val="00D91B69"/>
    <w:rPr>
      <w:color w:val="000000"/>
      <w:sz w:val="20"/>
      <w:szCs w:val="20"/>
      <w:u w:val="single"/>
    </w:rPr>
  </w:style>
  <w:style w:type="character" w:customStyle="1" w:styleId="variable">
    <w:name w:val="variable"/>
    <w:rsid w:val="00D91B69"/>
    <w:rPr>
      <w:color w:val="000000"/>
      <w:sz w:val="20"/>
      <w:szCs w:val="20"/>
    </w:rPr>
  </w:style>
  <w:style w:type="paragraph" w:styleId="Footer">
    <w:name w:val="footer"/>
    <w:basedOn w:val="Normal"/>
    <w:link w:val="FooterChar"/>
    <w:uiPriority w:val="99"/>
    <w:rsid w:val="00D91B69"/>
    <w:pPr>
      <w:tabs>
        <w:tab w:val="center" w:pos="4680"/>
        <w:tab w:val="right" w:pos="9360"/>
      </w:tabs>
    </w:pPr>
  </w:style>
  <w:style w:type="character" w:customStyle="1" w:styleId="FooterChar">
    <w:name w:val="Footer Char"/>
    <w:basedOn w:val="DefaultParagraphFont"/>
    <w:link w:val="Footer"/>
    <w:uiPriority w:val="99"/>
    <w:rsid w:val="00D91B6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1</cp:revision>
  <dcterms:created xsi:type="dcterms:W3CDTF">2021-10-29T14:50:00Z</dcterms:created>
  <dcterms:modified xsi:type="dcterms:W3CDTF">2021-10-29T14:51:00Z</dcterms:modified>
</cp:coreProperties>
</file>