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D965" w14:textId="23200FBC" w:rsidR="00DF31CC" w:rsidRDefault="00DF31CC" w:rsidP="00DF31CC">
      <w:pPr>
        <w:pStyle w:val="Heading1"/>
        <w:tabs>
          <w:tab w:val="left" w:pos="7920"/>
        </w:tabs>
        <w:ind w:left="0" w:right="940" w:firstLine="0"/>
        <w:jc w:val="center"/>
        <w:rPr>
          <w:u w:val="single"/>
        </w:rPr>
      </w:pPr>
      <w:r>
        <w:rPr>
          <w:u w:val="single"/>
        </w:rPr>
        <w:t>Exhibit 1</w:t>
      </w:r>
      <w:r w:rsidR="007920EE">
        <w:rPr>
          <w:u w:val="single"/>
        </w:rPr>
        <w:t>2</w:t>
      </w:r>
    </w:p>
    <w:p w14:paraId="0038DA9A" w14:textId="77777777" w:rsidR="00DF31CC" w:rsidRPr="00245AD0" w:rsidRDefault="00DF31CC" w:rsidP="00DF31CC">
      <w:pPr>
        <w:pStyle w:val="Heading1"/>
        <w:ind w:right="1465"/>
        <w:jc w:val="center"/>
        <w:rPr>
          <w:u w:val="single"/>
        </w:rPr>
      </w:pPr>
    </w:p>
    <w:p w14:paraId="2026F06F" w14:textId="77777777" w:rsidR="00DF31CC" w:rsidRPr="00245AD0" w:rsidRDefault="00DF31CC" w:rsidP="00DF31CC">
      <w:pPr>
        <w:pStyle w:val="Heading1"/>
        <w:ind w:right="1465"/>
      </w:pPr>
      <w:r w:rsidRPr="00A56A32">
        <w:t>UNITED STATES BANKRUPTCY COURT DISTRICT OF SOUTH CAROLINA</w:t>
      </w:r>
    </w:p>
    <w:p w14:paraId="10E2856E" w14:textId="77777777" w:rsidR="00DF31CC" w:rsidRPr="00A56A32" w:rsidRDefault="00DF31CC" w:rsidP="00DF31CC">
      <w:pPr>
        <w:pStyle w:val="BodyText"/>
        <w:spacing w:before="2"/>
        <w:rPr>
          <w:rFonts w:ascii="Times New Roman" w:hAnsi="Times New Roman" w:cs="Times New Roman"/>
          <w:b/>
          <w:sz w:val="24"/>
          <w:szCs w:val="24"/>
        </w:rPr>
      </w:pPr>
      <w:r w:rsidRPr="00A56A32">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313A3ED4" wp14:editId="2289192B">
                <wp:simplePos x="0" y="0"/>
                <wp:positionH relativeFrom="page">
                  <wp:posOffset>908050</wp:posOffset>
                </wp:positionH>
                <wp:positionV relativeFrom="paragraph">
                  <wp:posOffset>146050</wp:posOffset>
                </wp:positionV>
                <wp:extent cx="3049905" cy="2816860"/>
                <wp:effectExtent l="0" t="0" r="17145" b="215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2816860"/>
                          <a:chOff x="1426" y="-185"/>
                          <a:chExt cx="4803" cy="4436"/>
                        </a:xfrm>
                      </wpg:grpSpPr>
                      <wps:wsp>
                        <wps:cNvPr id="55" name="Line 3"/>
                        <wps:cNvCnPr>
                          <a:cxnSpLocks noChangeShapeType="1"/>
                        </wps:cNvCnPr>
                        <wps:spPr bwMode="auto">
                          <a:xfrm>
                            <a:off x="1440" y="1200"/>
                            <a:ext cx="4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
                        <wps:cNvCnPr>
                          <a:cxnSpLocks noChangeShapeType="1"/>
                        </wps:cNvCnPr>
                        <wps:spPr bwMode="auto">
                          <a:xfrm>
                            <a:off x="1426" y="4246"/>
                            <a:ext cx="47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
                        <wps:cNvCnPr>
                          <a:cxnSpLocks noChangeShapeType="1"/>
                        </wps:cNvCnPr>
                        <wps:spPr bwMode="auto">
                          <a:xfrm>
                            <a:off x="6229" y="-185"/>
                            <a:ext cx="0" cy="44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Text Box 6"/>
                        <wps:cNvSpPr txBox="1">
                          <a:spLocks noChangeArrowheads="1"/>
                        </wps:cNvSpPr>
                        <wps:spPr bwMode="auto">
                          <a:xfrm>
                            <a:off x="1548" y="-176"/>
                            <a:ext cx="1903" cy="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6D8C" w14:textId="77777777" w:rsidR="00DF31CC" w:rsidRPr="00245AD0" w:rsidRDefault="00DF31CC" w:rsidP="00DF31CC">
                              <w:pPr>
                                <w:spacing w:line="266" w:lineRule="exact"/>
                                <w:rPr>
                                  <w:rFonts w:ascii="Times New Roman" w:hAnsi="Times New Roman" w:cs="Times New Roman"/>
                                  <w:sz w:val="24"/>
                                </w:rPr>
                              </w:pPr>
                              <w:r w:rsidRPr="00A56A32">
                                <w:rPr>
                                  <w:rFonts w:ascii="Times New Roman" w:hAnsi="Times New Roman" w:cs="Times New Roman"/>
                                  <w:sz w:val="24"/>
                                </w:rPr>
                                <w:t>In re,</w:t>
                              </w:r>
                            </w:p>
                            <w:p w14:paraId="16E490C5" w14:textId="77777777" w:rsidR="00DF31CC" w:rsidRDefault="00DF31CC" w:rsidP="00DF31CC">
                              <w:pPr>
                                <w:rPr>
                                  <w:sz w:val="24"/>
                                </w:rPr>
                              </w:pPr>
                              <w:r w:rsidRPr="00245AD0">
                                <w:rPr>
                                  <w:rFonts w:ascii="Times New Roman" w:hAnsi="Times New Roman" w:cs="Times New Roman"/>
                                  <w:sz w:val="24"/>
                                </w:rPr>
                                <w:t>Janice Kay Gallant,</w:t>
                              </w:r>
                            </w:p>
                          </w:txbxContent>
                        </wps:txbx>
                        <wps:bodyPr rot="0" vert="horz" wrap="square" lIns="0" tIns="0" rIns="0" bIns="0" anchor="t" anchorCtr="0" upright="1">
                          <a:noAutofit/>
                        </wps:bodyPr>
                      </wps:wsp>
                      <wps:wsp>
                        <wps:cNvPr id="59" name="Text Box 7"/>
                        <wps:cNvSpPr txBox="1">
                          <a:spLocks noChangeArrowheads="1"/>
                        </wps:cNvSpPr>
                        <wps:spPr bwMode="auto">
                          <a:xfrm>
                            <a:off x="5089" y="928"/>
                            <a:ext cx="7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26A3F" w14:textId="77777777" w:rsidR="00DF31CC" w:rsidRDefault="00DF31CC" w:rsidP="00DF31CC">
                              <w:pPr>
                                <w:spacing w:line="266" w:lineRule="exact"/>
                                <w:rPr>
                                  <w:sz w:val="24"/>
                                </w:rPr>
                              </w:pPr>
                              <w:r w:rsidRPr="00A56A32">
                                <w:rPr>
                                  <w:rFonts w:ascii="Times New Roman" w:hAnsi="Times New Roman" w:cs="Times New Roman"/>
                                  <w:sz w:val="24"/>
                                </w:rPr>
                                <w:t>Debtor</w:t>
                              </w:r>
                              <w:r>
                                <w:rPr>
                                  <w:sz w:val="24"/>
                                </w:rPr>
                                <w:t>.</w:t>
                              </w:r>
                            </w:p>
                          </w:txbxContent>
                        </wps:txbx>
                        <wps:bodyPr rot="0" vert="horz" wrap="square" lIns="0" tIns="0" rIns="0" bIns="0" anchor="t" anchorCtr="0" upright="1">
                          <a:noAutofit/>
                        </wps:bodyPr>
                      </wps:wsp>
                      <wps:wsp>
                        <wps:cNvPr id="60" name="Text Box 8"/>
                        <wps:cNvSpPr txBox="1">
                          <a:spLocks noChangeArrowheads="1"/>
                        </wps:cNvSpPr>
                        <wps:spPr bwMode="auto">
                          <a:xfrm>
                            <a:off x="1548" y="1489"/>
                            <a:ext cx="159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E9B87" w14:textId="77777777" w:rsidR="00DF31CC" w:rsidRPr="00A56A32" w:rsidRDefault="00DF31CC" w:rsidP="00DF31CC">
                              <w:pPr>
                                <w:spacing w:line="266" w:lineRule="exact"/>
                                <w:rPr>
                                  <w:rFonts w:ascii="Times New Roman" w:hAnsi="Times New Roman" w:cs="Times New Roman"/>
                                  <w:sz w:val="24"/>
                                </w:rPr>
                              </w:pPr>
                              <w:r w:rsidRPr="00A56A32">
                                <w:rPr>
                                  <w:rFonts w:ascii="Times New Roman" w:hAnsi="Times New Roman" w:cs="Times New Roman"/>
                                  <w:sz w:val="24"/>
                                </w:rPr>
                                <w:t>Michelle Vieira,</w:t>
                              </w:r>
                            </w:p>
                          </w:txbxContent>
                        </wps:txbx>
                        <wps:bodyPr rot="0" vert="horz" wrap="square" lIns="0" tIns="0" rIns="0" bIns="0" anchor="t" anchorCtr="0" upright="1">
                          <a:noAutofit/>
                        </wps:bodyPr>
                      </wps:wsp>
                      <wps:wsp>
                        <wps:cNvPr id="61" name="Text Box 9"/>
                        <wps:cNvSpPr txBox="1">
                          <a:spLocks noChangeArrowheads="1"/>
                        </wps:cNvSpPr>
                        <wps:spPr bwMode="auto">
                          <a:xfrm>
                            <a:off x="4969" y="2041"/>
                            <a:ext cx="8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7704" w14:textId="77777777" w:rsidR="00DF31CC" w:rsidRPr="00A56A32" w:rsidRDefault="00DF31CC" w:rsidP="00DF31CC">
                              <w:pPr>
                                <w:spacing w:line="266" w:lineRule="exact"/>
                                <w:rPr>
                                  <w:rFonts w:ascii="Times New Roman" w:hAnsi="Times New Roman" w:cs="Times New Roman"/>
                                  <w:sz w:val="24"/>
                                </w:rPr>
                              </w:pPr>
                              <w:r w:rsidRPr="00A56A32">
                                <w:rPr>
                                  <w:rFonts w:ascii="Times New Roman" w:hAnsi="Times New Roman" w:cs="Times New Roman"/>
                                  <w:sz w:val="24"/>
                                </w:rPr>
                                <w:t>Plaintiff,</w:t>
                              </w:r>
                            </w:p>
                          </w:txbxContent>
                        </wps:txbx>
                        <wps:bodyPr rot="0" vert="horz" wrap="square" lIns="0" tIns="0" rIns="0" bIns="0" anchor="t" anchorCtr="0" upright="1">
                          <a:noAutofit/>
                        </wps:bodyPr>
                      </wps:wsp>
                      <wps:wsp>
                        <wps:cNvPr id="62" name="Text Box 10"/>
                        <wps:cNvSpPr txBox="1">
                          <a:spLocks noChangeArrowheads="1"/>
                        </wps:cNvSpPr>
                        <wps:spPr bwMode="auto">
                          <a:xfrm>
                            <a:off x="1518" y="2538"/>
                            <a:ext cx="1958" cy="1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E361" w14:textId="77777777" w:rsidR="00DF31CC" w:rsidRPr="00A56A32" w:rsidRDefault="00DF31CC" w:rsidP="00DF31CC">
                              <w:pPr>
                                <w:spacing w:after="0" w:line="266" w:lineRule="exact"/>
                                <w:rPr>
                                  <w:rFonts w:ascii="Times New Roman" w:hAnsi="Times New Roman" w:cs="Times New Roman"/>
                                  <w:sz w:val="24"/>
                                </w:rPr>
                              </w:pPr>
                              <w:r w:rsidRPr="00A56A32">
                                <w:rPr>
                                  <w:rFonts w:ascii="Times New Roman" w:hAnsi="Times New Roman" w:cs="Times New Roman"/>
                                  <w:sz w:val="24"/>
                                </w:rPr>
                                <w:t>v.</w:t>
                              </w:r>
                            </w:p>
                            <w:p w14:paraId="628CFBA5" w14:textId="77777777" w:rsidR="00DF31CC" w:rsidRDefault="00DF31CC" w:rsidP="00DF31CC">
                              <w:pPr>
                                <w:spacing w:after="0"/>
                                <w:rPr>
                                  <w:rFonts w:ascii="Times New Roman" w:hAnsi="Times New Roman" w:cs="Times New Roman"/>
                                  <w:sz w:val="24"/>
                                </w:rPr>
                              </w:pPr>
                            </w:p>
                            <w:p w14:paraId="559EC900" w14:textId="77777777" w:rsidR="00DF31CC" w:rsidRDefault="00DF31CC" w:rsidP="00DF31CC">
                              <w:pPr>
                                <w:spacing w:after="0"/>
                                <w:rPr>
                                  <w:rFonts w:ascii="Times New Roman" w:hAnsi="Times New Roman" w:cs="Times New Roman"/>
                                  <w:sz w:val="24"/>
                                </w:rPr>
                              </w:pPr>
                              <w:r>
                                <w:rPr>
                                  <w:rFonts w:ascii="Times New Roman" w:hAnsi="Times New Roman" w:cs="Times New Roman"/>
                                  <w:sz w:val="24"/>
                                </w:rPr>
                                <w:t>Sherry Wilt,</w:t>
                              </w:r>
                            </w:p>
                            <w:p w14:paraId="4791D998" w14:textId="77777777" w:rsidR="00DF31CC" w:rsidRDefault="00DF31CC" w:rsidP="00DF31CC">
                              <w:pPr>
                                <w:rPr>
                                  <w:sz w:val="24"/>
                                </w:rPr>
                              </w:pPr>
                            </w:p>
                          </w:txbxContent>
                        </wps:txbx>
                        <wps:bodyPr rot="0" vert="horz" wrap="square" lIns="0" tIns="0" rIns="0" bIns="0" anchor="t" anchorCtr="0" upright="1">
                          <a:noAutofit/>
                        </wps:bodyPr>
                      </wps:wsp>
                      <wps:wsp>
                        <wps:cNvPr id="63" name="Text Box 11"/>
                        <wps:cNvSpPr txBox="1">
                          <a:spLocks noChangeArrowheads="1"/>
                        </wps:cNvSpPr>
                        <wps:spPr bwMode="auto">
                          <a:xfrm>
                            <a:off x="4789" y="3422"/>
                            <a:ext cx="10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4A57" w14:textId="77777777" w:rsidR="00DF31CC" w:rsidRPr="00A56A32" w:rsidRDefault="00DF31CC" w:rsidP="00DF31CC">
                              <w:pPr>
                                <w:spacing w:line="266" w:lineRule="exact"/>
                                <w:rPr>
                                  <w:rFonts w:ascii="Times New Roman" w:hAnsi="Times New Roman" w:cs="Times New Roman"/>
                                  <w:sz w:val="24"/>
                                </w:rPr>
                              </w:pPr>
                              <w:r w:rsidRPr="00A56A32">
                                <w:rPr>
                                  <w:rFonts w:ascii="Times New Roman" w:hAnsi="Times New Roman" w:cs="Times New Roman"/>
                                  <w:sz w:val="24"/>
                                </w:rPr>
                                <w:t>Defendant.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A3ED4" id="Group 49" o:spid="_x0000_s1026" style="position:absolute;margin-left:71.5pt;margin-top:11.5pt;width:240.15pt;height:221.8pt;z-index:251660288;mso-position-horizontal-relative:page" coordorigin="1426,-185" coordsize="4803,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">
                <v:line id="Line 3" o:spid="_x0000_s1027" style="position:absolute;visibility:visible;mso-wrap-style:square" from="1440,1200" to="622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 o:spid="_x0000_s1028" style="position:absolute;visibility:visible;mso-wrap-style:square" from="1426,4246" to="6225,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 o:spid="_x0000_s1029" style="position:absolute;visibility:visible;mso-wrap-style:square" from="6229,-185" to="6229,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shapetype id="_x0000_t202" coordsize="21600,21600" o:spt="202" path="m,l,21600r21600,l21600,xe">
                  <v:stroke joinstyle="miter"/>
                  <v:path gradientshapeok="t" o:connecttype="rect"/>
                </v:shapetype>
                <v:shape id="Text Box 6" o:spid="_x0000_s1030" type="#_x0000_t202" style="position:absolute;left:1548;top:-176;width:1903;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8516D8C" w14:textId="77777777" w:rsidR="00DF31CC" w:rsidRPr="00245AD0" w:rsidRDefault="00DF31CC" w:rsidP="00DF31CC">
                        <w:pPr>
                          <w:spacing w:line="266" w:lineRule="exact"/>
                          <w:rPr>
                            <w:rFonts w:ascii="Times New Roman" w:hAnsi="Times New Roman" w:cs="Times New Roman"/>
                            <w:sz w:val="24"/>
                          </w:rPr>
                        </w:pPr>
                        <w:r w:rsidRPr="00A56A32">
                          <w:rPr>
                            <w:rFonts w:ascii="Times New Roman" w:hAnsi="Times New Roman" w:cs="Times New Roman"/>
                            <w:sz w:val="24"/>
                          </w:rPr>
                          <w:t>In re,</w:t>
                        </w:r>
                      </w:p>
                      <w:p w14:paraId="16E490C5" w14:textId="77777777" w:rsidR="00DF31CC" w:rsidRDefault="00DF31CC" w:rsidP="00DF31CC">
                        <w:pPr>
                          <w:rPr>
                            <w:sz w:val="24"/>
                          </w:rPr>
                        </w:pPr>
                        <w:r w:rsidRPr="00245AD0">
                          <w:rPr>
                            <w:rFonts w:ascii="Times New Roman" w:hAnsi="Times New Roman" w:cs="Times New Roman"/>
                            <w:sz w:val="24"/>
                          </w:rPr>
                          <w:t>Janice Kay Gallant,</w:t>
                        </w:r>
                      </w:p>
                    </w:txbxContent>
                  </v:textbox>
                </v:shape>
                <v:shape id="Text Box 7" o:spid="_x0000_s1031" type="#_x0000_t202" style="position:absolute;left:5089;top:928;width:7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4726A3F" w14:textId="77777777" w:rsidR="00DF31CC" w:rsidRDefault="00DF31CC" w:rsidP="00DF31CC">
                        <w:pPr>
                          <w:spacing w:line="266" w:lineRule="exact"/>
                          <w:rPr>
                            <w:sz w:val="24"/>
                          </w:rPr>
                        </w:pPr>
                        <w:r w:rsidRPr="00A56A32">
                          <w:rPr>
                            <w:rFonts w:ascii="Times New Roman" w:hAnsi="Times New Roman" w:cs="Times New Roman"/>
                            <w:sz w:val="24"/>
                          </w:rPr>
                          <w:t>Debtor</w:t>
                        </w:r>
                        <w:r>
                          <w:rPr>
                            <w:sz w:val="24"/>
                          </w:rPr>
                          <w:t>.</w:t>
                        </w:r>
                      </w:p>
                    </w:txbxContent>
                  </v:textbox>
                </v:shape>
                <v:shape id="Text Box 8" o:spid="_x0000_s1032" type="#_x0000_t202" style="position:absolute;left:1548;top:1489;width:159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EDE9B87" w14:textId="77777777" w:rsidR="00DF31CC" w:rsidRPr="00A56A32" w:rsidRDefault="00DF31CC" w:rsidP="00DF31CC">
                        <w:pPr>
                          <w:spacing w:line="266" w:lineRule="exact"/>
                          <w:rPr>
                            <w:rFonts w:ascii="Times New Roman" w:hAnsi="Times New Roman" w:cs="Times New Roman"/>
                            <w:sz w:val="24"/>
                          </w:rPr>
                        </w:pPr>
                        <w:r w:rsidRPr="00A56A32">
                          <w:rPr>
                            <w:rFonts w:ascii="Times New Roman" w:hAnsi="Times New Roman" w:cs="Times New Roman"/>
                            <w:sz w:val="24"/>
                          </w:rPr>
                          <w:t>Michelle Vieira,</w:t>
                        </w:r>
                      </w:p>
                    </w:txbxContent>
                  </v:textbox>
                </v:shape>
                <v:shape id="Text Box 9" o:spid="_x0000_s1033" type="#_x0000_t202" style="position:absolute;left:4969;top:2041;width:86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5317704" w14:textId="77777777" w:rsidR="00DF31CC" w:rsidRPr="00A56A32" w:rsidRDefault="00DF31CC" w:rsidP="00DF31CC">
                        <w:pPr>
                          <w:spacing w:line="266" w:lineRule="exact"/>
                          <w:rPr>
                            <w:rFonts w:ascii="Times New Roman" w:hAnsi="Times New Roman" w:cs="Times New Roman"/>
                            <w:sz w:val="24"/>
                          </w:rPr>
                        </w:pPr>
                        <w:r w:rsidRPr="00A56A32">
                          <w:rPr>
                            <w:rFonts w:ascii="Times New Roman" w:hAnsi="Times New Roman" w:cs="Times New Roman"/>
                            <w:sz w:val="24"/>
                          </w:rPr>
                          <w:t>Plaintiff,</w:t>
                        </w:r>
                      </w:p>
                    </w:txbxContent>
                  </v:textbox>
                </v:shape>
                <v:shape id="Text Box 10" o:spid="_x0000_s1034" type="#_x0000_t202" style="position:absolute;left:1518;top:2538;width:1958;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A51E361" w14:textId="77777777" w:rsidR="00DF31CC" w:rsidRPr="00A56A32" w:rsidRDefault="00DF31CC" w:rsidP="00DF31CC">
                        <w:pPr>
                          <w:spacing w:after="0" w:line="266" w:lineRule="exact"/>
                          <w:rPr>
                            <w:rFonts w:ascii="Times New Roman" w:hAnsi="Times New Roman" w:cs="Times New Roman"/>
                            <w:sz w:val="24"/>
                          </w:rPr>
                        </w:pPr>
                        <w:r w:rsidRPr="00A56A32">
                          <w:rPr>
                            <w:rFonts w:ascii="Times New Roman" w:hAnsi="Times New Roman" w:cs="Times New Roman"/>
                            <w:sz w:val="24"/>
                          </w:rPr>
                          <w:t>v.</w:t>
                        </w:r>
                      </w:p>
                      <w:p w14:paraId="628CFBA5" w14:textId="77777777" w:rsidR="00DF31CC" w:rsidRDefault="00DF31CC" w:rsidP="00DF31CC">
                        <w:pPr>
                          <w:spacing w:after="0"/>
                          <w:rPr>
                            <w:rFonts w:ascii="Times New Roman" w:hAnsi="Times New Roman" w:cs="Times New Roman"/>
                            <w:sz w:val="24"/>
                          </w:rPr>
                        </w:pPr>
                      </w:p>
                      <w:p w14:paraId="559EC900" w14:textId="77777777" w:rsidR="00DF31CC" w:rsidRDefault="00DF31CC" w:rsidP="00DF31CC">
                        <w:pPr>
                          <w:spacing w:after="0"/>
                          <w:rPr>
                            <w:rFonts w:ascii="Times New Roman" w:hAnsi="Times New Roman" w:cs="Times New Roman"/>
                            <w:sz w:val="24"/>
                          </w:rPr>
                        </w:pPr>
                        <w:r>
                          <w:rPr>
                            <w:rFonts w:ascii="Times New Roman" w:hAnsi="Times New Roman" w:cs="Times New Roman"/>
                            <w:sz w:val="24"/>
                          </w:rPr>
                          <w:t>Sherry Wilt,</w:t>
                        </w:r>
                      </w:p>
                      <w:p w14:paraId="4791D998" w14:textId="77777777" w:rsidR="00DF31CC" w:rsidRDefault="00DF31CC" w:rsidP="00DF31CC">
                        <w:pPr>
                          <w:rPr>
                            <w:sz w:val="24"/>
                          </w:rPr>
                        </w:pPr>
                      </w:p>
                    </w:txbxContent>
                  </v:textbox>
                </v:shape>
                <v:shape id="Text Box 11" o:spid="_x0000_s1035" type="#_x0000_t202" style="position:absolute;left:4789;top:3422;width:107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7094A57" w14:textId="77777777" w:rsidR="00DF31CC" w:rsidRPr="00A56A32" w:rsidRDefault="00DF31CC" w:rsidP="00DF31CC">
                        <w:pPr>
                          <w:spacing w:line="266" w:lineRule="exact"/>
                          <w:rPr>
                            <w:rFonts w:ascii="Times New Roman" w:hAnsi="Times New Roman" w:cs="Times New Roman"/>
                            <w:sz w:val="24"/>
                          </w:rPr>
                        </w:pPr>
                        <w:r w:rsidRPr="00A56A32">
                          <w:rPr>
                            <w:rFonts w:ascii="Times New Roman" w:hAnsi="Times New Roman" w:cs="Times New Roman"/>
                            <w:sz w:val="24"/>
                          </w:rPr>
                          <w:t>Defendant.</w:t>
                        </w:r>
                      </w:p>
                    </w:txbxContent>
                  </v:textbox>
                </v:shape>
                <w10:wrap anchorx="page"/>
              </v:group>
            </w:pict>
          </mc:Fallback>
        </mc:AlternateContent>
      </w:r>
    </w:p>
    <w:p w14:paraId="5D258A2D" w14:textId="77777777" w:rsidR="00DF31CC" w:rsidRPr="00A56A32" w:rsidRDefault="00DF31CC" w:rsidP="00DF31CC">
      <w:pPr>
        <w:pStyle w:val="BodyText"/>
        <w:spacing w:before="90" w:line="480" w:lineRule="auto"/>
        <w:ind w:left="5713" w:right="1100" w:firstLine="230"/>
        <w:rPr>
          <w:rFonts w:ascii="Times New Roman" w:hAnsi="Times New Roman" w:cs="Times New Roman"/>
          <w:sz w:val="24"/>
          <w:szCs w:val="24"/>
        </w:rPr>
      </w:pPr>
      <w:r w:rsidRPr="00A56A32">
        <w:rPr>
          <w:rFonts w:ascii="Times New Roman" w:hAnsi="Times New Roman" w:cs="Times New Roman"/>
          <w:sz w:val="24"/>
          <w:szCs w:val="24"/>
        </w:rPr>
        <w:t>Case No. 19-06102-DD Adv. Pro. No. 20-80082-DD</w:t>
      </w:r>
    </w:p>
    <w:p w14:paraId="0432C98D" w14:textId="77777777" w:rsidR="00DF31CC" w:rsidRPr="00A56A32" w:rsidRDefault="00DF31CC" w:rsidP="00DF31CC">
      <w:pPr>
        <w:pStyle w:val="BodyText"/>
        <w:spacing w:before="10"/>
        <w:ind w:left="5286" w:right="696"/>
        <w:jc w:val="center"/>
        <w:rPr>
          <w:rFonts w:ascii="Times New Roman" w:hAnsi="Times New Roman" w:cs="Times New Roman"/>
          <w:sz w:val="24"/>
          <w:szCs w:val="24"/>
        </w:rPr>
      </w:pPr>
      <w:r w:rsidRPr="00A56A32">
        <w:rPr>
          <w:rFonts w:ascii="Times New Roman" w:hAnsi="Times New Roman" w:cs="Times New Roman"/>
          <w:sz w:val="24"/>
          <w:szCs w:val="24"/>
        </w:rPr>
        <w:t>Chapter 7</w:t>
      </w:r>
    </w:p>
    <w:p w14:paraId="2B6ADA99" w14:textId="77777777" w:rsidR="00DF31CC" w:rsidRPr="00A56A32" w:rsidRDefault="00DF31CC" w:rsidP="00DF31CC">
      <w:pPr>
        <w:pStyle w:val="BodyText"/>
        <w:rPr>
          <w:rFonts w:ascii="Times New Roman" w:hAnsi="Times New Roman" w:cs="Times New Roman"/>
          <w:sz w:val="24"/>
          <w:szCs w:val="24"/>
        </w:rPr>
      </w:pPr>
    </w:p>
    <w:p w14:paraId="3D50F826" w14:textId="77777777" w:rsidR="00DF31CC" w:rsidRPr="00A56A32" w:rsidRDefault="00DF31CC" w:rsidP="00DF31CC">
      <w:pPr>
        <w:pStyle w:val="BodyText"/>
        <w:rPr>
          <w:rFonts w:ascii="Times New Roman" w:hAnsi="Times New Roman" w:cs="Times New Roman"/>
          <w:sz w:val="24"/>
          <w:szCs w:val="24"/>
        </w:rPr>
      </w:pPr>
    </w:p>
    <w:p w14:paraId="664C981A" w14:textId="77777777" w:rsidR="00DF31CC" w:rsidRPr="00A56A32" w:rsidRDefault="00DF31CC" w:rsidP="00DF31CC">
      <w:pPr>
        <w:pStyle w:val="Heading1"/>
        <w:spacing w:before="159"/>
        <w:ind w:left="5289" w:firstLine="0"/>
        <w:jc w:val="center"/>
      </w:pPr>
      <w:r w:rsidRPr="00A56A32">
        <w:t>Order Granting Default Judgment</w:t>
      </w:r>
    </w:p>
    <w:p w14:paraId="23741688" w14:textId="77777777" w:rsidR="00DF31CC" w:rsidRPr="00A56A32" w:rsidRDefault="00DF31CC" w:rsidP="00DF31CC">
      <w:pPr>
        <w:pStyle w:val="BodyText"/>
        <w:rPr>
          <w:rFonts w:ascii="Times New Roman" w:hAnsi="Times New Roman" w:cs="Times New Roman"/>
          <w:b/>
          <w:sz w:val="24"/>
          <w:szCs w:val="24"/>
        </w:rPr>
      </w:pPr>
    </w:p>
    <w:p w14:paraId="37912743" w14:textId="77777777" w:rsidR="00DF31CC" w:rsidRPr="00A56A32" w:rsidRDefault="00DF31CC" w:rsidP="00DF31CC">
      <w:pPr>
        <w:pStyle w:val="BodyText"/>
        <w:rPr>
          <w:rFonts w:ascii="Times New Roman" w:hAnsi="Times New Roman" w:cs="Times New Roman"/>
          <w:b/>
          <w:sz w:val="24"/>
          <w:szCs w:val="24"/>
        </w:rPr>
      </w:pPr>
    </w:p>
    <w:p w14:paraId="569C1699" w14:textId="77777777" w:rsidR="00DF31CC" w:rsidRPr="00A56A32" w:rsidRDefault="00DF31CC" w:rsidP="00DF31CC">
      <w:pPr>
        <w:pStyle w:val="BodyText"/>
        <w:rPr>
          <w:rFonts w:ascii="Times New Roman" w:hAnsi="Times New Roman" w:cs="Times New Roman"/>
          <w:b/>
          <w:sz w:val="24"/>
          <w:szCs w:val="24"/>
        </w:rPr>
      </w:pPr>
    </w:p>
    <w:p w14:paraId="3D1BBC94" w14:textId="77777777" w:rsidR="00DF31CC" w:rsidRPr="00A56A32" w:rsidRDefault="00DF31CC" w:rsidP="00DF31CC">
      <w:pPr>
        <w:pStyle w:val="BodyText"/>
        <w:rPr>
          <w:rFonts w:ascii="Times New Roman" w:hAnsi="Times New Roman" w:cs="Times New Roman"/>
          <w:b/>
          <w:sz w:val="24"/>
          <w:szCs w:val="24"/>
        </w:rPr>
      </w:pPr>
    </w:p>
    <w:p w14:paraId="6C1E612A" w14:textId="77777777" w:rsidR="00DF31CC" w:rsidRPr="00A56A32" w:rsidRDefault="00DF31CC" w:rsidP="00DF31CC">
      <w:pPr>
        <w:pStyle w:val="BodyText"/>
        <w:spacing w:before="6"/>
        <w:rPr>
          <w:rFonts w:ascii="Times New Roman" w:hAnsi="Times New Roman" w:cs="Times New Roman"/>
          <w:b/>
          <w:sz w:val="24"/>
          <w:szCs w:val="24"/>
        </w:rPr>
      </w:pPr>
    </w:p>
    <w:p w14:paraId="64827B92" w14:textId="77777777" w:rsidR="00DF31CC" w:rsidRPr="00A56A32" w:rsidRDefault="00DF31CC" w:rsidP="00DF31CC">
      <w:pPr>
        <w:pStyle w:val="BodyText"/>
        <w:spacing w:before="90" w:line="480" w:lineRule="auto"/>
        <w:ind w:left="120" w:firstLine="719"/>
        <w:rPr>
          <w:rFonts w:ascii="Times New Roman" w:hAnsi="Times New Roman" w:cs="Times New Roman"/>
          <w:sz w:val="24"/>
          <w:szCs w:val="24"/>
        </w:rPr>
      </w:pPr>
      <w:r w:rsidRPr="00A56A32">
        <w:rPr>
          <w:rFonts w:ascii="Times New Roman" w:hAnsi="Times New Roman" w:cs="Times New Roman"/>
          <w:sz w:val="24"/>
          <w:szCs w:val="24"/>
        </w:rPr>
        <w:t xml:space="preserve">This matter is before the Court on a motion for default judgment filed by the plaintiff Michelle Vieira on December 1, 2020. No response to the motion was filed. The plaintiff commenced this adversary proceeding on October 19, 2020, asserting that the transfer of a one- half interest in certain real property by the debtor to the defendant was a fraudulent conveyance pursuant to S.C. Code § 27-23-10 and </w:t>
      </w:r>
      <w:r w:rsidRPr="00A56A32">
        <w:rPr>
          <w:rFonts w:ascii="Times New Roman" w:hAnsi="Times New Roman" w:cs="Times New Roman"/>
          <w:sz w:val="24"/>
          <w:szCs w:val="24"/>
          <w:u w:val="thick" w:color="0000FF"/>
        </w:rPr>
        <w:t>11 U.S.C. § 544(b)</w:t>
      </w:r>
      <w:r w:rsidRPr="00A56A32">
        <w:rPr>
          <w:rFonts w:ascii="Times New Roman" w:hAnsi="Times New Roman" w:cs="Times New Roman"/>
          <w:sz w:val="24"/>
          <w:szCs w:val="24"/>
        </w:rPr>
        <w:t xml:space="preserve"> and seeking recovery of the avoided transfer pursuant to </w:t>
      </w:r>
      <w:r w:rsidRPr="00A56A32">
        <w:rPr>
          <w:rFonts w:ascii="Times New Roman" w:hAnsi="Times New Roman" w:cs="Times New Roman"/>
          <w:sz w:val="24"/>
          <w:szCs w:val="24"/>
          <w:u w:val="thick" w:color="0000FF"/>
        </w:rPr>
        <w:t>11 U.S.C. § 550</w:t>
      </w:r>
      <w:r w:rsidRPr="00A56A32">
        <w:rPr>
          <w:rFonts w:ascii="Times New Roman" w:hAnsi="Times New Roman" w:cs="Times New Roman"/>
          <w:sz w:val="24"/>
          <w:szCs w:val="24"/>
        </w:rPr>
        <w:t xml:space="preserve">. A summons was issued on October 20, </w:t>
      </w:r>
      <w:proofErr w:type="gramStart"/>
      <w:r w:rsidRPr="00A56A32">
        <w:rPr>
          <w:rFonts w:ascii="Times New Roman" w:hAnsi="Times New Roman" w:cs="Times New Roman"/>
          <w:sz w:val="24"/>
          <w:szCs w:val="24"/>
        </w:rPr>
        <w:t>2020</w:t>
      </w:r>
      <w:proofErr w:type="gramEnd"/>
      <w:r w:rsidRPr="00A56A32">
        <w:rPr>
          <w:rFonts w:ascii="Times New Roman" w:hAnsi="Times New Roman" w:cs="Times New Roman"/>
          <w:sz w:val="24"/>
          <w:szCs w:val="24"/>
        </w:rPr>
        <w:t xml:space="preserve"> reflecting an answer deadline of November 19, 2020. The plaintiff filed a certificate of service on October 23, 2020, indicating that she served the defendant with a copy of the summons and complaint on the same date. The defendant did not file an answer. On November 24, 2020, the plaintiff filed an affidavit of default and the Clerk entered default on November 30, 2020.</w:t>
      </w:r>
    </w:p>
    <w:p w14:paraId="7CCB7EDB" w14:textId="77777777" w:rsidR="00DF31CC" w:rsidRPr="00A56A32" w:rsidRDefault="00DF31CC" w:rsidP="00DF31CC">
      <w:pPr>
        <w:pStyle w:val="BodyText"/>
        <w:spacing w:line="480" w:lineRule="auto"/>
        <w:ind w:left="120" w:right="223" w:firstLine="719"/>
        <w:jc w:val="both"/>
        <w:rPr>
          <w:rFonts w:ascii="Times New Roman" w:hAnsi="Times New Roman" w:cs="Times New Roman"/>
          <w:sz w:val="24"/>
          <w:szCs w:val="24"/>
        </w:rPr>
      </w:pPr>
      <w:r w:rsidRPr="00A56A32">
        <w:rPr>
          <w:rFonts w:ascii="Times New Roman" w:hAnsi="Times New Roman" w:cs="Times New Roman"/>
          <w:sz w:val="24"/>
          <w:szCs w:val="24"/>
        </w:rPr>
        <w:t>Because the defendant did not answer the complaint, the well-pled facts in the complaint are deemed admitted. According to the complaint, the debtor purchased real property located at 57 Bainbridge Way, Bluffton, South Carolina on or about October 20, 2015. To finance a</w:t>
      </w:r>
    </w:p>
    <w:p w14:paraId="25CE8A33" w14:textId="77777777" w:rsidR="00DF31CC" w:rsidRPr="00A56A32" w:rsidRDefault="00DF31CC" w:rsidP="00DF31CC">
      <w:pPr>
        <w:spacing w:line="480" w:lineRule="auto"/>
        <w:jc w:val="both"/>
        <w:rPr>
          <w:rFonts w:ascii="Times New Roman" w:hAnsi="Times New Roman" w:cs="Times New Roman"/>
          <w:sz w:val="24"/>
          <w:szCs w:val="24"/>
        </w:rPr>
        <w:sectPr w:rsidR="00DF31CC" w:rsidRPr="00A56A32" w:rsidSect="00A56A32">
          <w:pgSz w:w="12240" w:h="15840"/>
          <w:pgMar w:top="1360" w:right="1340" w:bottom="280" w:left="1320" w:header="720" w:footer="720" w:gutter="0"/>
          <w:cols w:space="720"/>
        </w:sectPr>
      </w:pPr>
    </w:p>
    <w:p w14:paraId="7F989D11" w14:textId="77777777" w:rsidR="00DF31CC" w:rsidRPr="00A56A32" w:rsidRDefault="00DF31CC" w:rsidP="00DF31CC">
      <w:pPr>
        <w:pStyle w:val="BodyText"/>
        <w:spacing w:before="79" w:line="480" w:lineRule="auto"/>
        <w:ind w:left="120" w:right="101"/>
        <w:rPr>
          <w:rFonts w:ascii="Times New Roman" w:hAnsi="Times New Roman" w:cs="Times New Roman"/>
          <w:sz w:val="24"/>
          <w:szCs w:val="24"/>
        </w:rPr>
      </w:pPr>
      <w:r w:rsidRPr="00A56A32">
        <w:rPr>
          <w:rFonts w:ascii="Times New Roman" w:hAnsi="Times New Roman" w:cs="Times New Roman"/>
          <w:sz w:val="24"/>
          <w:szCs w:val="24"/>
        </w:rPr>
        <w:lastRenderedPageBreak/>
        <w:t>portion of the purchase price, the debtor obtained a loan. The debtor also provided the funds for the remainder of the purchase price. The defendant did not contribute any funds to the purchase of the property, but the property was jointly titled in both the debtor’s and the defendant’s</w:t>
      </w:r>
      <w:r w:rsidRPr="00A56A32">
        <w:rPr>
          <w:rFonts w:ascii="Times New Roman" w:hAnsi="Times New Roman" w:cs="Times New Roman"/>
          <w:spacing w:val="-12"/>
          <w:sz w:val="24"/>
          <w:szCs w:val="24"/>
        </w:rPr>
        <w:t xml:space="preserve"> </w:t>
      </w:r>
      <w:r w:rsidRPr="00A56A32">
        <w:rPr>
          <w:rFonts w:ascii="Times New Roman" w:hAnsi="Times New Roman" w:cs="Times New Roman"/>
          <w:sz w:val="24"/>
          <w:szCs w:val="24"/>
        </w:rPr>
        <w:t>names, with each holding a one-half undivided interest. The complaint asserts that the defendant obtained the half-interest in the property for no consideration, that at the time the debtor granted the defendant a one-half interest in the property, the debtor was indebted to one or more unsecured creditors, and that the debtor did not retain sufficient assets to pay her creditors in</w:t>
      </w:r>
      <w:r w:rsidRPr="00A56A32">
        <w:rPr>
          <w:rFonts w:ascii="Times New Roman" w:hAnsi="Times New Roman" w:cs="Times New Roman"/>
          <w:spacing w:val="-9"/>
          <w:sz w:val="24"/>
          <w:szCs w:val="24"/>
        </w:rPr>
        <w:t xml:space="preserve"> </w:t>
      </w:r>
      <w:r w:rsidRPr="00A56A32">
        <w:rPr>
          <w:rFonts w:ascii="Times New Roman" w:hAnsi="Times New Roman" w:cs="Times New Roman"/>
          <w:sz w:val="24"/>
          <w:szCs w:val="24"/>
        </w:rPr>
        <w:t>full.</w:t>
      </w:r>
    </w:p>
    <w:p w14:paraId="1CCE8D83" w14:textId="77777777" w:rsidR="00DF31CC" w:rsidRPr="00A56A32" w:rsidRDefault="00DF31CC" w:rsidP="00DF31CC">
      <w:pPr>
        <w:pStyle w:val="BodyText"/>
        <w:spacing w:before="1" w:line="480" w:lineRule="auto"/>
        <w:ind w:left="120" w:right="309" w:firstLine="719"/>
        <w:rPr>
          <w:rFonts w:ascii="Times New Roman" w:hAnsi="Times New Roman" w:cs="Times New Roman"/>
          <w:sz w:val="24"/>
          <w:szCs w:val="24"/>
        </w:rPr>
      </w:pPr>
      <w:r w:rsidRPr="00A56A32">
        <w:rPr>
          <w:rFonts w:ascii="Times New Roman" w:hAnsi="Times New Roman" w:cs="Times New Roman"/>
          <w:sz w:val="24"/>
          <w:szCs w:val="24"/>
        </w:rPr>
        <w:t>Section 544(b) of the Bankruptcy Code allows the trustee to “avoid any transfer of an interest of the debtor in property or any obligation incurred by the debtor that is voidable under applicable law by a creditor holding an unsecured claim that is allowable under section 502 of [the Bankruptcy Code] or that is not allowable only under section 502(e) of [the Bankruptcy Code].” The plaintiff here relies on South Carolina’s Statute of Elizabeth, which states, in relevant part:</w:t>
      </w:r>
    </w:p>
    <w:p w14:paraId="3B17A9A4" w14:textId="77777777" w:rsidR="00DF31CC" w:rsidRPr="00A56A32" w:rsidRDefault="00DF31CC" w:rsidP="00DF31CC">
      <w:pPr>
        <w:pStyle w:val="BodyText"/>
        <w:spacing w:before="1"/>
        <w:ind w:left="840" w:right="813"/>
        <w:jc w:val="both"/>
        <w:rPr>
          <w:rFonts w:ascii="Times New Roman" w:hAnsi="Times New Roman" w:cs="Times New Roman"/>
          <w:sz w:val="24"/>
          <w:szCs w:val="24"/>
        </w:rPr>
      </w:pPr>
      <w:r w:rsidRPr="00A56A32">
        <w:rPr>
          <w:rFonts w:ascii="Times New Roman" w:hAnsi="Times New Roman" w:cs="Times New Roman"/>
          <w:color w:val="3C3C3C"/>
          <w:sz w:val="24"/>
          <w:szCs w:val="24"/>
        </w:rPr>
        <w:t>Every</w:t>
      </w:r>
      <w:r w:rsidRPr="00A56A32">
        <w:rPr>
          <w:rFonts w:ascii="Times New Roman" w:hAnsi="Times New Roman" w:cs="Times New Roman"/>
          <w:color w:val="3C3C3C"/>
          <w:spacing w:val="-8"/>
          <w:sz w:val="24"/>
          <w:szCs w:val="24"/>
        </w:rPr>
        <w:t xml:space="preserve"> </w:t>
      </w:r>
      <w:r w:rsidRPr="00A56A32">
        <w:rPr>
          <w:rFonts w:ascii="Times New Roman" w:hAnsi="Times New Roman" w:cs="Times New Roman"/>
          <w:color w:val="3C3C3C"/>
          <w:sz w:val="24"/>
          <w:szCs w:val="24"/>
        </w:rPr>
        <w:t>gift,</w:t>
      </w:r>
      <w:r w:rsidRPr="00A56A32">
        <w:rPr>
          <w:rFonts w:ascii="Times New Roman" w:hAnsi="Times New Roman" w:cs="Times New Roman"/>
          <w:color w:val="3C3C3C"/>
          <w:spacing w:val="-7"/>
          <w:sz w:val="24"/>
          <w:szCs w:val="24"/>
        </w:rPr>
        <w:t xml:space="preserve"> </w:t>
      </w:r>
      <w:r w:rsidRPr="00A56A32">
        <w:rPr>
          <w:rFonts w:ascii="Times New Roman" w:hAnsi="Times New Roman" w:cs="Times New Roman"/>
          <w:color w:val="3C3C3C"/>
          <w:sz w:val="24"/>
          <w:szCs w:val="24"/>
        </w:rPr>
        <w:t>grant,</w:t>
      </w:r>
      <w:r w:rsidRPr="00A56A32">
        <w:rPr>
          <w:rFonts w:ascii="Times New Roman" w:hAnsi="Times New Roman" w:cs="Times New Roman"/>
          <w:color w:val="3C3C3C"/>
          <w:spacing w:val="-6"/>
          <w:sz w:val="24"/>
          <w:szCs w:val="24"/>
        </w:rPr>
        <w:t xml:space="preserve"> </w:t>
      </w:r>
      <w:r w:rsidRPr="00A56A32">
        <w:rPr>
          <w:rFonts w:ascii="Times New Roman" w:hAnsi="Times New Roman" w:cs="Times New Roman"/>
          <w:color w:val="3C3C3C"/>
          <w:sz w:val="24"/>
          <w:szCs w:val="24"/>
        </w:rPr>
        <w:t>alienation,</w:t>
      </w:r>
      <w:r w:rsidRPr="00A56A32">
        <w:rPr>
          <w:rFonts w:ascii="Times New Roman" w:hAnsi="Times New Roman" w:cs="Times New Roman"/>
          <w:color w:val="3C3C3C"/>
          <w:spacing w:val="-7"/>
          <w:sz w:val="24"/>
          <w:szCs w:val="24"/>
        </w:rPr>
        <w:t xml:space="preserve"> </w:t>
      </w:r>
      <w:r w:rsidRPr="00A56A32">
        <w:rPr>
          <w:rFonts w:ascii="Times New Roman" w:hAnsi="Times New Roman" w:cs="Times New Roman"/>
          <w:color w:val="3C3C3C"/>
          <w:sz w:val="24"/>
          <w:szCs w:val="24"/>
        </w:rPr>
        <w:t>bargain,</w:t>
      </w:r>
      <w:r w:rsidRPr="00A56A32">
        <w:rPr>
          <w:rFonts w:ascii="Times New Roman" w:hAnsi="Times New Roman" w:cs="Times New Roman"/>
          <w:color w:val="3C3C3C"/>
          <w:spacing w:val="-7"/>
          <w:sz w:val="24"/>
          <w:szCs w:val="24"/>
        </w:rPr>
        <w:t xml:space="preserve"> </w:t>
      </w:r>
      <w:r w:rsidRPr="00A56A32">
        <w:rPr>
          <w:rFonts w:ascii="Times New Roman" w:hAnsi="Times New Roman" w:cs="Times New Roman"/>
          <w:color w:val="3C3C3C"/>
          <w:sz w:val="24"/>
          <w:szCs w:val="24"/>
        </w:rPr>
        <w:t>transfer,</w:t>
      </w:r>
      <w:r w:rsidRPr="00A56A32">
        <w:rPr>
          <w:rFonts w:ascii="Times New Roman" w:hAnsi="Times New Roman" w:cs="Times New Roman"/>
          <w:color w:val="3C3C3C"/>
          <w:spacing w:val="-7"/>
          <w:sz w:val="24"/>
          <w:szCs w:val="24"/>
        </w:rPr>
        <w:t xml:space="preserve"> </w:t>
      </w:r>
      <w:r w:rsidRPr="00A56A32">
        <w:rPr>
          <w:rFonts w:ascii="Times New Roman" w:hAnsi="Times New Roman" w:cs="Times New Roman"/>
          <w:color w:val="3C3C3C"/>
          <w:sz w:val="24"/>
          <w:szCs w:val="24"/>
        </w:rPr>
        <w:t>and</w:t>
      </w:r>
      <w:r w:rsidRPr="00A56A32">
        <w:rPr>
          <w:rFonts w:ascii="Times New Roman" w:hAnsi="Times New Roman" w:cs="Times New Roman"/>
          <w:color w:val="3C3C3C"/>
          <w:spacing w:val="-7"/>
          <w:sz w:val="24"/>
          <w:szCs w:val="24"/>
        </w:rPr>
        <w:t xml:space="preserve"> </w:t>
      </w:r>
      <w:r w:rsidRPr="00A56A32">
        <w:rPr>
          <w:rFonts w:ascii="Times New Roman" w:hAnsi="Times New Roman" w:cs="Times New Roman"/>
          <w:color w:val="3C3C3C"/>
          <w:sz w:val="24"/>
          <w:szCs w:val="24"/>
        </w:rPr>
        <w:t>conveyance</w:t>
      </w:r>
      <w:r w:rsidRPr="00A56A32">
        <w:rPr>
          <w:rFonts w:ascii="Times New Roman" w:hAnsi="Times New Roman" w:cs="Times New Roman"/>
          <w:color w:val="3C3C3C"/>
          <w:spacing w:val="-8"/>
          <w:sz w:val="24"/>
          <w:szCs w:val="24"/>
        </w:rPr>
        <w:t xml:space="preserve"> </w:t>
      </w:r>
      <w:r w:rsidRPr="00A56A32">
        <w:rPr>
          <w:rFonts w:ascii="Times New Roman" w:hAnsi="Times New Roman" w:cs="Times New Roman"/>
          <w:color w:val="3C3C3C"/>
          <w:sz w:val="24"/>
          <w:szCs w:val="24"/>
        </w:rPr>
        <w:t>of</w:t>
      </w:r>
      <w:r w:rsidRPr="00A56A32">
        <w:rPr>
          <w:rFonts w:ascii="Times New Roman" w:hAnsi="Times New Roman" w:cs="Times New Roman"/>
          <w:color w:val="3C3C3C"/>
          <w:spacing w:val="-7"/>
          <w:sz w:val="24"/>
          <w:szCs w:val="24"/>
        </w:rPr>
        <w:t xml:space="preserve"> </w:t>
      </w:r>
      <w:r w:rsidRPr="00A56A32">
        <w:rPr>
          <w:rFonts w:ascii="Times New Roman" w:hAnsi="Times New Roman" w:cs="Times New Roman"/>
          <w:color w:val="3C3C3C"/>
          <w:sz w:val="24"/>
          <w:szCs w:val="24"/>
        </w:rPr>
        <w:t>lands,</w:t>
      </w:r>
      <w:r w:rsidRPr="00A56A32">
        <w:rPr>
          <w:rFonts w:ascii="Times New Roman" w:hAnsi="Times New Roman" w:cs="Times New Roman"/>
          <w:color w:val="3C3C3C"/>
          <w:spacing w:val="-7"/>
          <w:sz w:val="24"/>
          <w:szCs w:val="24"/>
        </w:rPr>
        <w:t xml:space="preserve"> </w:t>
      </w:r>
      <w:r w:rsidRPr="00A56A32">
        <w:rPr>
          <w:rFonts w:ascii="Times New Roman" w:hAnsi="Times New Roman" w:cs="Times New Roman"/>
          <w:color w:val="3C3C3C"/>
          <w:sz w:val="24"/>
          <w:szCs w:val="24"/>
        </w:rPr>
        <w:t>tenements, or</w:t>
      </w:r>
      <w:r w:rsidRPr="00A56A32">
        <w:rPr>
          <w:rFonts w:ascii="Times New Roman" w:hAnsi="Times New Roman" w:cs="Times New Roman"/>
          <w:color w:val="3C3C3C"/>
          <w:spacing w:val="-14"/>
          <w:sz w:val="24"/>
          <w:szCs w:val="24"/>
        </w:rPr>
        <w:t xml:space="preserve"> </w:t>
      </w:r>
      <w:r w:rsidRPr="00A56A32">
        <w:rPr>
          <w:rFonts w:ascii="Times New Roman" w:hAnsi="Times New Roman" w:cs="Times New Roman"/>
          <w:color w:val="3C3C3C"/>
          <w:sz w:val="24"/>
          <w:szCs w:val="24"/>
        </w:rPr>
        <w:t>hereditaments,</w:t>
      </w:r>
      <w:r w:rsidRPr="00A56A32">
        <w:rPr>
          <w:rFonts w:ascii="Times New Roman" w:hAnsi="Times New Roman" w:cs="Times New Roman"/>
          <w:color w:val="3C3C3C"/>
          <w:spacing w:val="-13"/>
          <w:sz w:val="24"/>
          <w:szCs w:val="24"/>
        </w:rPr>
        <w:t xml:space="preserve"> </w:t>
      </w:r>
      <w:r w:rsidRPr="00A56A32">
        <w:rPr>
          <w:rFonts w:ascii="Times New Roman" w:hAnsi="Times New Roman" w:cs="Times New Roman"/>
          <w:color w:val="3C3C3C"/>
          <w:sz w:val="24"/>
          <w:szCs w:val="24"/>
        </w:rPr>
        <w:t>goods</w:t>
      </w:r>
      <w:r w:rsidRPr="00A56A32">
        <w:rPr>
          <w:rFonts w:ascii="Times New Roman" w:hAnsi="Times New Roman" w:cs="Times New Roman"/>
          <w:color w:val="3C3C3C"/>
          <w:spacing w:val="-13"/>
          <w:sz w:val="24"/>
          <w:szCs w:val="24"/>
        </w:rPr>
        <w:t xml:space="preserve"> </w:t>
      </w:r>
      <w:r w:rsidRPr="00A56A32">
        <w:rPr>
          <w:rFonts w:ascii="Times New Roman" w:hAnsi="Times New Roman" w:cs="Times New Roman"/>
          <w:color w:val="3C3C3C"/>
          <w:sz w:val="24"/>
          <w:szCs w:val="24"/>
        </w:rPr>
        <w:t>and</w:t>
      </w:r>
      <w:r w:rsidRPr="00A56A32">
        <w:rPr>
          <w:rFonts w:ascii="Times New Roman" w:hAnsi="Times New Roman" w:cs="Times New Roman"/>
          <w:color w:val="3C3C3C"/>
          <w:spacing w:val="-13"/>
          <w:sz w:val="24"/>
          <w:szCs w:val="24"/>
        </w:rPr>
        <w:t xml:space="preserve"> </w:t>
      </w:r>
      <w:r w:rsidRPr="00A56A32">
        <w:rPr>
          <w:rFonts w:ascii="Times New Roman" w:hAnsi="Times New Roman" w:cs="Times New Roman"/>
          <w:color w:val="3C3C3C"/>
          <w:sz w:val="24"/>
          <w:szCs w:val="24"/>
        </w:rPr>
        <w:t>chattels</w:t>
      </w:r>
      <w:r w:rsidRPr="00A56A32">
        <w:rPr>
          <w:rFonts w:ascii="Times New Roman" w:hAnsi="Times New Roman" w:cs="Times New Roman"/>
          <w:color w:val="3C3C3C"/>
          <w:spacing w:val="-13"/>
          <w:sz w:val="24"/>
          <w:szCs w:val="24"/>
        </w:rPr>
        <w:t xml:space="preserve"> </w:t>
      </w:r>
      <w:r w:rsidRPr="00A56A32">
        <w:rPr>
          <w:rFonts w:ascii="Times New Roman" w:hAnsi="Times New Roman" w:cs="Times New Roman"/>
          <w:color w:val="3C3C3C"/>
          <w:sz w:val="24"/>
          <w:szCs w:val="24"/>
        </w:rPr>
        <w:t>or</w:t>
      </w:r>
      <w:r w:rsidRPr="00A56A32">
        <w:rPr>
          <w:rFonts w:ascii="Times New Roman" w:hAnsi="Times New Roman" w:cs="Times New Roman"/>
          <w:color w:val="3C3C3C"/>
          <w:spacing w:val="-14"/>
          <w:sz w:val="24"/>
          <w:szCs w:val="24"/>
        </w:rPr>
        <w:t xml:space="preserve"> </w:t>
      </w:r>
      <w:r w:rsidRPr="00A56A32">
        <w:rPr>
          <w:rFonts w:ascii="Times New Roman" w:hAnsi="Times New Roman" w:cs="Times New Roman"/>
          <w:color w:val="3C3C3C"/>
          <w:sz w:val="24"/>
          <w:szCs w:val="24"/>
        </w:rPr>
        <w:t>any</w:t>
      </w:r>
      <w:r w:rsidRPr="00A56A32">
        <w:rPr>
          <w:rFonts w:ascii="Times New Roman" w:hAnsi="Times New Roman" w:cs="Times New Roman"/>
          <w:color w:val="3C3C3C"/>
          <w:spacing w:val="-12"/>
          <w:sz w:val="24"/>
          <w:szCs w:val="24"/>
        </w:rPr>
        <w:t xml:space="preserve"> </w:t>
      </w:r>
      <w:r w:rsidRPr="00A56A32">
        <w:rPr>
          <w:rFonts w:ascii="Times New Roman" w:hAnsi="Times New Roman" w:cs="Times New Roman"/>
          <w:color w:val="3C3C3C"/>
          <w:sz w:val="24"/>
          <w:szCs w:val="24"/>
        </w:rPr>
        <w:t>of</w:t>
      </w:r>
      <w:r w:rsidRPr="00A56A32">
        <w:rPr>
          <w:rFonts w:ascii="Times New Roman" w:hAnsi="Times New Roman" w:cs="Times New Roman"/>
          <w:color w:val="3C3C3C"/>
          <w:spacing w:val="-14"/>
          <w:sz w:val="24"/>
          <w:szCs w:val="24"/>
        </w:rPr>
        <w:t xml:space="preserve"> </w:t>
      </w:r>
      <w:r w:rsidRPr="00A56A32">
        <w:rPr>
          <w:rFonts w:ascii="Times New Roman" w:hAnsi="Times New Roman" w:cs="Times New Roman"/>
          <w:color w:val="3C3C3C"/>
          <w:sz w:val="24"/>
          <w:szCs w:val="24"/>
        </w:rPr>
        <w:t>them,</w:t>
      </w:r>
      <w:r w:rsidRPr="00A56A32">
        <w:rPr>
          <w:rFonts w:ascii="Times New Roman" w:hAnsi="Times New Roman" w:cs="Times New Roman"/>
          <w:color w:val="3C3C3C"/>
          <w:spacing w:val="-13"/>
          <w:sz w:val="24"/>
          <w:szCs w:val="24"/>
        </w:rPr>
        <w:t xml:space="preserve"> </w:t>
      </w:r>
      <w:r w:rsidRPr="00A56A32">
        <w:rPr>
          <w:rFonts w:ascii="Times New Roman" w:hAnsi="Times New Roman" w:cs="Times New Roman"/>
          <w:color w:val="3C3C3C"/>
          <w:sz w:val="24"/>
          <w:szCs w:val="24"/>
        </w:rPr>
        <w:t>or</w:t>
      </w:r>
      <w:r w:rsidRPr="00A56A32">
        <w:rPr>
          <w:rFonts w:ascii="Times New Roman" w:hAnsi="Times New Roman" w:cs="Times New Roman"/>
          <w:color w:val="3C3C3C"/>
          <w:spacing w:val="-14"/>
          <w:sz w:val="24"/>
          <w:szCs w:val="24"/>
        </w:rPr>
        <w:t xml:space="preserve"> </w:t>
      </w:r>
      <w:r w:rsidRPr="00A56A32">
        <w:rPr>
          <w:rFonts w:ascii="Times New Roman" w:hAnsi="Times New Roman" w:cs="Times New Roman"/>
          <w:color w:val="3C3C3C"/>
          <w:sz w:val="24"/>
          <w:szCs w:val="24"/>
        </w:rPr>
        <w:t>of</w:t>
      </w:r>
      <w:r w:rsidRPr="00A56A32">
        <w:rPr>
          <w:rFonts w:ascii="Times New Roman" w:hAnsi="Times New Roman" w:cs="Times New Roman"/>
          <w:color w:val="3C3C3C"/>
          <w:spacing w:val="-14"/>
          <w:sz w:val="24"/>
          <w:szCs w:val="24"/>
        </w:rPr>
        <w:t xml:space="preserve"> </w:t>
      </w:r>
      <w:r w:rsidRPr="00A56A32">
        <w:rPr>
          <w:rFonts w:ascii="Times New Roman" w:hAnsi="Times New Roman" w:cs="Times New Roman"/>
          <w:color w:val="3C3C3C"/>
          <w:sz w:val="24"/>
          <w:szCs w:val="24"/>
        </w:rPr>
        <w:t>any</w:t>
      </w:r>
      <w:r w:rsidRPr="00A56A32">
        <w:rPr>
          <w:rFonts w:ascii="Times New Roman" w:hAnsi="Times New Roman" w:cs="Times New Roman"/>
          <w:color w:val="3C3C3C"/>
          <w:spacing w:val="-13"/>
          <w:sz w:val="24"/>
          <w:szCs w:val="24"/>
        </w:rPr>
        <w:t xml:space="preserve"> </w:t>
      </w:r>
      <w:r w:rsidRPr="00A56A32">
        <w:rPr>
          <w:rFonts w:ascii="Times New Roman" w:hAnsi="Times New Roman" w:cs="Times New Roman"/>
          <w:color w:val="3C3C3C"/>
          <w:sz w:val="24"/>
          <w:szCs w:val="24"/>
        </w:rPr>
        <w:t>lease,</w:t>
      </w:r>
      <w:r w:rsidRPr="00A56A32">
        <w:rPr>
          <w:rFonts w:ascii="Times New Roman" w:hAnsi="Times New Roman" w:cs="Times New Roman"/>
          <w:color w:val="3C3C3C"/>
          <w:spacing w:val="-12"/>
          <w:sz w:val="24"/>
          <w:szCs w:val="24"/>
        </w:rPr>
        <w:t xml:space="preserve"> </w:t>
      </w:r>
      <w:r w:rsidRPr="00A56A32">
        <w:rPr>
          <w:rFonts w:ascii="Times New Roman" w:hAnsi="Times New Roman" w:cs="Times New Roman"/>
          <w:color w:val="3C3C3C"/>
          <w:sz w:val="24"/>
          <w:szCs w:val="24"/>
        </w:rPr>
        <w:t>rent,</w:t>
      </w:r>
      <w:r w:rsidRPr="00A56A32">
        <w:rPr>
          <w:rFonts w:ascii="Times New Roman" w:hAnsi="Times New Roman" w:cs="Times New Roman"/>
          <w:color w:val="3C3C3C"/>
          <w:spacing w:val="-13"/>
          <w:sz w:val="24"/>
          <w:szCs w:val="24"/>
        </w:rPr>
        <w:t xml:space="preserve"> </w:t>
      </w:r>
      <w:r w:rsidRPr="00A56A32">
        <w:rPr>
          <w:rFonts w:ascii="Times New Roman" w:hAnsi="Times New Roman" w:cs="Times New Roman"/>
          <w:color w:val="3C3C3C"/>
          <w:sz w:val="24"/>
          <w:szCs w:val="24"/>
        </w:rPr>
        <w:t>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w:t>
      </w:r>
      <w:r w:rsidRPr="00A56A32">
        <w:rPr>
          <w:rFonts w:ascii="Times New Roman" w:hAnsi="Times New Roman" w:cs="Times New Roman"/>
          <w:color w:val="3C3C3C"/>
          <w:spacing w:val="-3"/>
          <w:sz w:val="24"/>
          <w:szCs w:val="24"/>
        </w:rPr>
        <w:t xml:space="preserve"> </w:t>
      </w:r>
      <w:r w:rsidRPr="00A56A32">
        <w:rPr>
          <w:rFonts w:ascii="Times New Roman" w:hAnsi="Times New Roman" w:cs="Times New Roman"/>
          <w:color w:val="3C3C3C"/>
          <w:sz w:val="24"/>
          <w:szCs w:val="24"/>
        </w:rPr>
        <w:t>notwithstanding.</w:t>
      </w:r>
    </w:p>
    <w:p w14:paraId="15D3C442" w14:textId="77777777" w:rsidR="00DF31CC" w:rsidRPr="00A56A32" w:rsidRDefault="00DF31CC" w:rsidP="00DF31CC">
      <w:pPr>
        <w:pStyle w:val="BodyText"/>
        <w:spacing w:before="1"/>
        <w:rPr>
          <w:rFonts w:ascii="Times New Roman" w:hAnsi="Times New Roman" w:cs="Times New Roman"/>
          <w:sz w:val="24"/>
          <w:szCs w:val="24"/>
        </w:rPr>
      </w:pPr>
    </w:p>
    <w:p w14:paraId="781CDCFC" w14:textId="77777777" w:rsidR="00DF31CC" w:rsidRPr="00A56A32" w:rsidRDefault="00DF31CC" w:rsidP="00DF31CC">
      <w:pPr>
        <w:pStyle w:val="BodyText"/>
        <w:spacing w:line="480" w:lineRule="auto"/>
        <w:ind w:left="120"/>
        <w:rPr>
          <w:rFonts w:ascii="Times New Roman" w:hAnsi="Times New Roman" w:cs="Times New Roman"/>
          <w:sz w:val="24"/>
          <w:szCs w:val="24"/>
        </w:rPr>
      </w:pPr>
      <w:r w:rsidRPr="00A56A32">
        <w:rPr>
          <w:rFonts w:ascii="Times New Roman" w:hAnsi="Times New Roman" w:cs="Times New Roman"/>
          <w:color w:val="3C3C3C"/>
          <w:sz w:val="24"/>
          <w:szCs w:val="24"/>
        </w:rPr>
        <w:t>If there is an existing creditor at the time of the transfer, the trustee can set aside a fraudulent conveyance by a debtor, if not made for valuable consideration, if she can show:</w:t>
      </w:r>
    </w:p>
    <w:p w14:paraId="0656948E" w14:textId="77777777" w:rsidR="00DF31CC" w:rsidRPr="00A56A32" w:rsidRDefault="00DF31CC" w:rsidP="00DF31CC">
      <w:pPr>
        <w:spacing w:line="480" w:lineRule="auto"/>
        <w:rPr>
          <w:rFonts w:ascii="Times New Roman" w:hAnsi="Times New Roman" w:cs="Times New Roman"/>
          <w:sz w:val="24"/>
          <w:szCs w:val="24"/>
        </w:rPr>
        <w:sectPr w:rsidR="00DF31CC" w:rsidRPr="00A56A32">
          <w:pgSz w:w="12240" w:h="15840"/>
          <w:pgMar w:top="1360" w:right="1340" w:bottom="280" w:left="1320" w:header="720" w:footer="720" w:gutter="0"/>
          <w:cols w:space="720"/>
        </w:sectPr>
      </w:pPr>
    </w:p>
    <w:p w14:paraId="428DB95E" w14:textId="77777777" w:rsidR="00DF31CC" w:rsidRPr="00A56A32" w:rsidRDefault="00DF31CC" w:rsidP="00DF31CC">
      <w:pPr>
        <w:pStyle w:val="BodyText"/>
        <w:spacing w:before="79"/>
        <w:ind w:left="840" w:right="819"/>
        <w:jc w:val="both"/>
        <w:rPr>
          <w:rFonts w:ascii="Times New Roman" w:hAnsi="Times New Roman" w:cs="Times New Roman"/>
          <w:sz w:val="24"/>
          <w:szCs w:val="24"/>
        </w:rPr>
      </w:pPr>
      <w:r w:rsidRPr="00A56A32">
        <w:rPr>
          <w:rFonts w:ascii="Times New Roman" w:hAnsi="Times New Roman" w:cs="Times New Roman"/>
          <w:color w:val="3C3C3C"/>
          <w:sz w:val="24"/>
          <w:szCs w:val="24"/>
        </w:rPr>
        <w:lastRenderedPageBreak/>
        <w:t xml:space="preserve">(1) </w:t>
      </w:r>
      <w:r w:rsidRPr="00A56A32">
        <w:rPr>
          <w:rFonts w:ascii="Times New Roman" w:hAnsi="Times New Roman" w:cs="Times New Roman"/>
          <w:sz w:val="24"/>
          <w:szCs w:val="24"/>
        </w:rPr>
        <w:t>The grantor was indebted to [the creditor] at the time of the transfer; (2) the conveyance was voluntary; and (3) the grantor failed to retain sufficient property to pay the indebtedness to the plaintiff in full.</w:t>
      </w:r>
    </w:p>
    <w:p w14:paraId="520D2450" w14:textId="77777777" w:rsidR="00DF31CC" w:rsidRPr="00A56A32" w:rsidRDefault="00DF31CC" w:rsidP="00DF31CC">
      <w:pPr>
        <w:pStyle w:val="BodyText"/>
        <w:rPr>
          <w:rFonts w:ascii="Times New Roman" w:hAnsi="Times New Roman" w:cs="Times New Roman"/>
          <w:sz w:val="24"/>
          <w:szCs w:val="24"/>
        </w:rPr>
      </w:pPr>
    </w:p>
    <w:p w14:paraId="5D36F0BF" w14:textId="77777777" w:rsidR="00DF31CC" w:rsidRPr="00A56A32" w:rsidRDefault="00DF31CC" w:rsidP="00DF31CC">
      <w:pPr>
        <w:pStyle w:val="BodyText"/>
        <w:spacing w:line="480" w:lineRule="auto"/>
        <w:ind w:left="120" w:right="138"/>
        <w:rPr>
          <w:rFonts w:ascii="Times New Roman" w:hAnsi="Times New Roman" w:cs="Times New Roman"/>
          <w:sz w:val="24"/>
          <w:szCs w:val="24"/>
        </w:rPr>
      </w:pPr>
      <w:r w:rsidRPr="00A56A32">
        <w:rPr>
          <w:rFonts w:ascii="Times New Roman" w:hAnsi="Times New Roman" w:cs="Times New Roman"/>
          <w:sz w:val="24"/>
          <w:szCs w:val="24"/>
        </w:rPr>
        <w:t>Here, the complaint alleges that there was a creditor existing at the time the defendant received a half-interest in the property. The complaint further alleges that the transfer was not for valuable consideration, was voluntary, and that the debtor failed to retain sufficient assets to pay her creditors in full. Accordingly, the debtor’s transfer of the defendant’s one-half interest in the property to her is avoided.</w:t>
      </w:r>
    </w:p>
    <w:p w14:paraId="1FBEA781" w14:textId="77777777" w:rsidR="00DF31CC" w:rsidRPr="00A56A32" w:rsidRDefault="00DF31CC" w:rsidP="00DF31CC">
      <w:pPr>
        <w:pStyle w:val="BodyText"/>
        <w:spacing w:before="1" w:line="480" w:lineRule="auto"/>
        <w:ind w:left="120" w:right="236" w:firstLine="719"/>
        <w:rPr>
          <w:rFonts w:ascii="Times New Roman" w:hAnsi="Times New Roman" w:cs="Times New Roman"/>
          <w:sz w:val="24"/>
          <w:szCs w:val="24"/>
        </w:rPr>
      </w:pPr>
      <w:r w:rsidRPr="00A56A32">
        <w:rPr>
          <w:rFonts w:ascii="Times New Roman" w:hAnsi="Times New Roman" w:cs="Times New Roman"/>
          <w:sz w:val="24"/>
          <w:szCs w:val="24"/>
        </w:rPr>
        <w:t xml:space="preserve">After a transfer is avoided under §544, </w:t>
      </w:r>
      <w:r w:rsidRPr="00A56A32">
        <w:rPr>
          <w:rFonts w:ascii="Times New Roman" w:hAnsi="Times New Roman" w:cs="Times New Roman"/>
          <w:sz w:val="24"/>
          <w:szCs w:val="24"/>
          <w:u w:val="thick" w:color="0000FF"/>
        </w:rPr>
        <w:t>11 U.S.C. § 550</w:t>
      </w:r>
      <w:r w:rsidRPr="00A56A32">
        <w:rPr>
          <w:rFonts w:ascii="Times New Roman" w:hAnsi="Times New Roman" w:cs="Times New Roman"/>
          <w:sz w:val="24"/>
          <w:szCs w:val="24"/>
        </w:rPr>
        <w:t xml:space="preserve"> allows the trustee to recover, for the benefit of the estate, the property transferred or the value of such property from the initial transferee of such transfer. Here, the Court has found that the transfer of the defendant’s one- half interest in the property is avoided. The defendant is the initial transferee of the interest.</w:t>
      </w:r>
    </w:p>
    <w:p w14:paraId="702CCAB7" w14:textId="77777777" w:rsidR="00DF31CC" w:rsidRPr="00A56A32" w:rsidRDefault="00DF31CC" w:rsidP="00DF31CC">
      <w:pPr>
        <w:pStyle w:val="BodyText"/>
        <w:spacing w:line="480" w:lineRule="auto"/>
        <w:ind w:left="120" w:right="769" w:firstLine="600"/>
        <w:rPr>
          <w:rFonts w:ascii="Times New Roman" w:hAnsi="Times New Roman" w:cs="Times New Roman"/>
          <w:sz w:val="24"/>
          <w:szCs w:val="24"/>
        </w:rPr>
      </w:pPr>
      <w:r w:rsidRPr="00A56A32">
        <w:rPr>
          <w:rFonts w:ascii="Times New Roman" w:hAnsi="Times New Roman" w:cs="Times New Roman"/>
          <w:sz w:val="24"/>
          <w:szCs w:val="24"/>
        </w:rPr>
        <w:t>Accordingly, the trustee is entitled to recover the one-half interest in the property from the defendant. The defendant’s one-half interest in the property is recovered. The transfer is recovered for the benefit of the bankruptcy estate.</w:t>
      </w:r>
    </w:p>
    <w:p w14:paraId="0169B9EF" w14:textId="77777777" w:rsidR="00DF31CC" w:rsidRPr="00A56A32" w:rsidRDefault="00DF31CC" w:rsidP="00DF31CC">
      <w:pPr>
        <w:pStyle w:val="BodyText"/>
        <w:spacing w:before="1"/>
        <w:ind w:left="840"/>
        <w:rPr>
          <w:rFonts w:ascii="Times New Roman" w:hAnsi="Times New Roman" w:cs="Times New Roman"/>
          <w:sz w:val="24"/>
          <w:szCs w:val="24"/>
        </w:rPr>
      </w:pPr>
      <w:r w:rsidRPr="00A56A32">
        <w:rPr>
          <w:rFonts w:ascii="Times New Roman" w:hAnsi="Times New Roman" w:cs="Times New Roman"/>
          <w:sz w:val="24"/>
          <w:szCs w:val="24"/>
        </w:rPr>
        <w:t>AND IT IS SO ORDERED.</w:t>
      </w:r>
    </w:p>
    <w:p w14:paraId="500EA538" w14:textId="77777777" w:rsidR="00DF31CC" w:rsidRDefault="00DF31CC" w:rsidP="00DF31CC">
      <w:pPr>
        <w:spacing w:before="92"/>
        <w:ind w:left="880" w:right="5245" w:hanging="600"/>
        <w:rPr>
          <w:rFonts w:ascii="Arial"/>
          <w:b/>
          <w:sz w:val="26"/>
        </w:rPr>
      </w:pPr>
      <w:r>
        <w:rPr>
          <w:noProof/>
        </w:rPr>
        <w:drawing>
          <wp:anchor distT="0" distB="0" distL="0" distR="0" simplePos="0" relativeHeight="251661312" behindDoc="0" locked="0" layoutInCell="1" allowOverlap="1" wp14:anchorId="00974B69" wp14:editId="4734A4E1">
            <wp:simplePos x="0" y="0"/>
            <wp:positionH relativeFrom="page">
              <wp:posOffset>1016000</wp:posOffset>
            </wp:positionH>
            <wp:positionV relativeFrom="paragraph">
              <wp:posOffset>480294</wp:posOffset>
            </wp:positionV>
            <wp:extent cx="1574800" cy="1574487"/>
            <wp:effectExtent l="0" t="0" r="0" b="0"/>
            <wp:wrapNone/>
            <wp:docPr id="47" name="image1.pn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descr="A picture containing text, ceramic ware, porcelain&#10;&#10;Description automatically generated"/>
                    <pic:cNvPicPr/>
                  </pic:nvPicPr>
                  <pic:blipFill>
                    <a:blip r:embed="rId4" cstate="print"/>
                    <a:stretch>
                      <a:fillRect/>
                    </a:stretch>
                  </pic:blipFill>
                  <pic:spPr>
                    <a:xfrm>
                      <a:off x="0" y="0"/>
                      <a:ext cx="1574800" cy="1574487"/>
                    </a:xfrm>
                    <a:prstGeom prst="rect">
                      <a:avLst/>
                    </a:prstGeom>
                  </pic:spPr>
                </pic:pic>
              </a:graphicData>
            </a:graphic>
          </wp:anchor>
        </w:drawing>
      </w:r>
      <w:r>
        <w:rPr>
          <w:rFonts w:ascii="Arial"/>
          <w:b/>
          <w:sz w:val="26"/>
        </w:rPr>
        <w:t>FILED BY THE COURT 12/07/2020</w:t>
      </w:r>
    </w:p>
    <w:p w14:paraId="5CE5334E" w14:textId="77777777" w:rsidR="00DF31CC" w:rsidRDefault="00DF31CC" w:rsidP="00DF31CC">
      <w:pPr>
        <w:pStyle w:val="BodyText"/>
        <w:rPr>
          <w:rFonts w:ascii="Arial"/>
          <w:b/>
          <w:sz w:val="20"/>
        </w:rPr>
      </w:pPr>
    </w:p>
    <w:p w14:paraId="5FEE1418" w14:textId="77777777" w:rsidR="00DF31CC" w:rsidRDefault="00DF31CC" w:rsidP="00DF31CC">
      <w:pPr>
        <w:pStyle w:val="BodyText"/>
        <w:spacing w:before="4"/>
        <w:rPr>
          <w:rFonts w:ascii="Arial"/>
          <w:b/>
          <w:sz w:val="15"/>
        </w:rPr>
      </w:pPr>
      <w:r>
        <w:rPr>
          <w:noProof/>
        </w:rPr>
        <w:drawing>
          <wp:anchor distT="0" distB="0" distL="0" distR="0" simplePos="0" relativeHeight="251659264" behindDoc="0" locked="0" layoutInCell="1" allowOverlap="1" wp14:anchorId="49A62C3F" wp14:editId="06FC5065">
            <wp:simplePos x="0" y="0"/>
            <wp:positionH relativeFrom="page">
              <wp:posOffset>4092575</wp:posOffset>
            </wp:positionH>
            <wp:positionV relativeFrom="paragraph">
              <wp:posOffset>137001</wp:posOffset>
            </wp:positionV>
            <wp:extent cx="2381250" cy="476250"/>
            <wp:effectExtent l="0" t="0" r="0" b="0"/>
            <wp:wrapTopAndBottom/>
            <wp:docPr id="48" name="image2.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descr="A picture containing diagram&#10;&#10;Description automatically generated"/>
                    <pic:cNvPicPr/>
                  </pic:nvPicPr>
                  <pic:blipFill>
                    <a:blip r:embed="rId5" cstate="print"/>
                    <a:stretch>
                      <a:fillRect/>
                    </a:stretch>
                  </pic:blipFill>
                  <pic:spPr>
                    <a:xfrm>
                      <a:off x="0" y="0"/>
                      <a:ext cx="2381250" cy="476250"/>
                    </a:xfrm>
                    <a:prstGeom prst="rect">
                      <a:avLst/>
                    </a:prstGeom>
                  </pic:spPr>
                </pic:pic>
              </a:graphicData>
            </a:graphic>
          </wp:anchor>
        </w:drawing>
      </w:r>
    </w:p>
    <w:p w14:paraId="4B85D7FA" w14:textId="77777777" w:rsidR="00DF31CC" w:rsidRDefault="00DF31CC" w:rsidP="00DF31CC">
      <w:pPr>
        <w:pStyle w:val="BodyText"/>
        <w:ind w:left="5080"/>
        <w:rPr>
          <w:rFonts w:ascii="Arial"/>
        </w:rPr>
      </w:pPr>
      <w:r>
        <w:rPr>
          <w:rFonts w:ascii="Arial"/>
        </w:rPr>
        <w:t>David R. Duncan</w:t>
      </w:r>
    </w:p>
    <w:p w14:paraId="68BB63F1" w14:textId="77777777" w:rsidR="00DF31CC" w:rsidRPr="00245AD0" w:rsidRDefault="00DF31CC" w:rsidP="00DF31CC">
      <w:pPr>
        <w:pStyle w:val="BodyText"/>
        <w:spacing w:before="24" w:line="261" w:lineRule="auto"/>
        <w:ind w:left="5080" w:right="1465"/>
        <w:rPr>
          <w:rFonts w:ascii="Arial"/>
        </w:rPr>
      </w:pPr>
      <w:r>
        <w:rPr>
          <w:rFonts w:ascii="Arial"/>
        </w:rPr>
        <w:t>US Bankruptcy Judge District of South Carolina</w:t>
      </w:r>
    </w:p>
    <w:p w14:paraId="05B35583" w14:textId="158570AD" w:rsidR="00FA27C9" w:rsidRPr="00DF31CC" w:rsidRDefault="00DF31CC" w:rsidP="00DF31CC">
      <w:pPr>
        <w:pStyle w:val="BodyText"/>
        <w:spacing w:before="199"/>
        <w:ind w:left="420"/>
        <w:rPr>
          <w:rFonts w:ascii="Arial"/>
        </w:rPr>
      </w:pPr>
      <w:r>
        <w:rPr>
          <w:rFonts w:ascii="Arial"/>
        </w:rPr>
        <w:t>Entered: 12/07/2020</w:t>
      </w:r>
    </w:p>
    <w:sectPr w:rsidR="00FA27C9" w:rsidRPr="00DF3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CC"/>
    <w:rsid w:val="007920EE"/>
    <w:rsid w:val="00DF31CC"/>
    <w:rsid w:val="00FA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CB1D"/>
  <w15:chartTrackingRefBased/>
  <w15:docId w15:val="{4CCCBDF9-F7CF-497B-A6C1-F38F3E66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1CC"/>
  </w:style>
  <w:style w:type="paragraph" w:styleId="Heading1">
    <w:name w:val="heading 1"/>
    <w:basedOn w:val="Normal"/>
    <w:link w:val="Heading1Char"/>
    <w:uiPriority w:val="9"/>
    <w:qFormat/>
    <w:rsid w:val="00DF31CC"/>
    <w:pPr>
      <w:widowControl w:val="0"/>
      <w:autoSpaceDE w:val="0"/>
      <w:autoSpaceDN w:val="0"/>
      <w:spacing w:before="79" w:after="0" w:line="240" w:lineRule="auto"/>
      <w:ind w:left="2888" w:right="696" w:hanging="38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1CC"/>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DF31CC"/>
    <w:pPr>
      <w:spacing w:after="120"/>
    </w:pPr>
  </w:style>
  <w:style w:type="character" w:customStyle="1" w:styleId="BodyTextChar">
    <w:name w:val="Body Text Char"/>
    <w:basedOn w:val="DefaultParagraphFont"/>
    <w:link w:val="BodyText"/>
    <w:uiPriority w:val="99"/>
    <w:rsid w:val="00DF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Williamson</dc:creator>
  <cp:keywords/>
  <dc:description/>
  <cp:lastModifiedBy>Charles Williamson</cp:lastModifiedBy>
  <cp:revision>2</cp:revision>
  <dcterms:created xsi:type="dcterms:W3CDTF">2021-10-04T17:11:00Z</dcterms:created>
  <dcterms:modified xsi:type="dcterms:W3CDTF">2022-08-29T19:08:00Z</dcterms:modified>
</cp:coreProperties>
</file>