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B1" w:rsidRDefault="006B72B1">
      <w:pPr>
        <w:pStyle w:val="p"/>
        <w:jc w:val="center"/>
      </w:pPr>
      <w:bookmarkStart w:id="0" w:name="_GoBack"/>
      <w:bookmarkEnd w:id="0"/>
      <w:r>
        <w:t>UNITED STATES BANKRUPTCY COURT</w:t>
      </w:r>
    </w:p>
    <w:p w:rsidR="006B72B1" w:rsidRDefault="006B72B1">
      <w:pPr>
        <w:pStyle w:val="p"/>
        <w:jc w:val="center"/>
      </w:pPr>
      <w:r>
        <w:t>DISTRICT OF SOUTH CAROLINA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4395"/>
        <w:gridCol w:w="5595"/>
      </w:tblGrid>
      <w:tr w:rsidR="006B72B1" w:rsidTr="00E17A63"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</w:tcPr>
          <w:p w:rsidR="006B72B1" w:rsidRDefault="006B72B1">
            <w:pPr>
              <w:pStyle w:val="p"/>
            </w:pPr>
            <w:r>
              <w:t>IN RE:</w:t>
            </w:r>
          </w:p>
          <w:p w:rsidR="006B72B1" w:rsidRDefault="006B72B1">
            <w:pPr>
              <w:pStyle w:val="p"/>
            </w:pPr>
            <w:r>
              <w:t> </w:t>
            </w:r>
          </w:p>
          <w:p w:rsidR="006B72B1" w:rsidRDefault="006B72B1">
            <w:pPr>
              <w:pStyle w:val="p"/>
            </w:pPr>
            <w:r>
              <w:t> </w:t>
            </w:r>
          </w:p>
          <w:p w:rsidR="006B72B1" w:rsidRDefault="006B72B1">
            <w:pPr>
              <w:pStyle w:val="p"/>
            </w:pPr>
            <w:r>
              <w:t> </w:t>
            </w:r>
          </w:p>
          <w:p w:rsidR="006B72B1" w:rsidRDefault="006B72B1">
            <w:pPr>
              <w:pStyle w:val="p"/>
            </w:pPr>
            <w:r>
              <w:t> </w:t>
            </w:r>
          </w:p>
          <w:p w:rsidR="006B72B1" w:rsidRDefault="006B72B1">
            <w:pPr>
              <w:pStyle w:val="p"/>
              <w:jc w:val="right"/>
            </w:pPr>
            <w:r>
              <w:t>DEBTOR(S)</w:t>
            </w:r>
          </w:p>
        </w:tc>
        <w:tc>
          <w:tcPr>
            <w:tcW w:w="5595" w:type="dxa"/>
          </w:tcPr>
          <w:p w:rsidR="006B72B1" w:rsidRDefault="006B72B1">
            <w:pPr>
              <w:pStyle w:val="p"/>
            </w:pPr>
            <w:r>
              <w:t xml:space="preserve">CASE NO: </w:t>
            </w:r>
          </w:p>
          <w:p w:rsidR="006B72B1" w:rsidRDefault="006B72B1">
            <w:pPr>
              <w:pStyle w:val="p"/>
            </w:pPr>
            <w:r>
              <w:t>CHAPTER:</w:t>
            </w:r>
          </w:p>
          <w:p w:rsidR="006B72B1" w:rsidRDefault="006B72B1">
            <w:pPr>
              <w:pStyle w:val="p"/>
            </w:pPr>
            <w:r>
              <w:t> </w:t>
            </w:r>
          </w:p>
          <w:p w:rsidR="006B72B1" w:rsidRDefault="006B72B1">
            <w:pPr>
              <w:pStyle w:val="p"/>
              <w:jc w:val="center"/>
            </w:pPr>
            <w:r>
              <w:t>ORDER AVOIDING NONPURCHASE-MONEY, NONPOSSESSORY SECURITY INTEREST (11 U.S.C. § 522(F)(1)(B))</w:t>
            </w:r>
          </w:p>
        </w:tc>
      </w:tr>
    </w:tbl>
    <w:p w:rsidR="006B72B1" w:rsidRDefault="006B72B1">
      <w:pPr>
        <w:pStyle w:val="pNormalWeb"/>
      </w:pPr>
      <w:r>
        <w:t>Before the Court is the motion of the debtor to avoid the security interest held by the following creditor: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907"/>
        <w:gridCol w:w="5669"/>
      </w:tblGrid>
      <w:tr w:rsidR="006B72B1">
        <w:tc>
          <w:tcPr>
            <w:tcW w:w="3660" w:type="dxa"/>
          </w:tcPr>
          <w:p w:rsidR="006B72B1" w:rsidRDefault="006B72B1">
            <w:pPr>
              <w:pStyle w:val="td"/>
            </w:pPr>
            <w:r>
              <w:t>Name and Address of Creditor</w:t>
            </w:r>
          </w:p>
        </w:tc>
        <w:tc>
          <w:tcPr>
            <w:tcW w:w="5310" w:type="dxa"/>
          </w:tcPr>
          <w:p w:rsidR="006B72B1" w:rsidRDefault="006B72B1">
            <w:pPr>
              <w:pStyle w:val="td"/>
            </w:pPr>
            <w:r>
              <w:t>Type of Property/Date of Security Agreement</w:t>
            </w:r>
          </w:p>
        </w:tc>
      </w:tr>
      <w:tr w:rsidR="006B72B1">
        <w:tc>
          <w:tcPr>
            <w:tcW w:w="3660" w:type="dxa"/>
          </w:tcPr>
          <w:p w:rsidR="006B72B1" w:rsidRDefault="006B72B1">
            <w:pPr>
              <w:pStyle w:val="td"/>
            </w:pPr>
            <w:r>
              <w:t>__________________________________</w:t>
            </w:r>
          </w:p>
        </w:tc>
        <w:tc>
          <w:tcPr>
            <w:tcW w:w="5310" w:type="dxa"/>
          </w:tcPr>
          <w:p w:rsidR="006B72B1" w:rsidRDefault="006B72B1">
            <w:pPr>
              <w:pStyle w:val="td"/>
            </w:pPr>
            <w:r>
              <w:t>__________________________________________________</w:t>
            </w:r>
          </w:p>
        </w:tc>
      </w:tr>
      <w:tr w:rsidR="006B72B1">
        <w:tc>
          <w:tcPr>
            <w:tcW w:w="3660" w:type="dxa"/>
          </w:tcPr>
          <w:p w:rsidR="006B72B1" w:rsidRDefault="006B72B1">
            <w:pPr>
              <w:pStyle w:val="td"/>
            </w:pPr>
            <w:r>
              <w:t>__________________________________</w:t>
            </w:r>
          </w:p>
        </w:tc>
        <w:tc>
          <w:tcPr>
            <w:tcW w:w="5310" w:type="dxa"/>
          </w:tcPr>
          <w:p w:rsidR="006B72B1" w:rsidRDefault="006B72B1">
            <w:pPr>
              <w:pStyle w:val="td"/>
            </w:pPr>
            <w:r>
              <w:t>__________________________________________________</w:t>
            </w:r>
          </w:p>
        </w:tc>
      </w:tr>
      <w:tr w:rsidR="006B72B1">
        <w:tc>
          <w:tcPr>
            <w:tcW w:w="3660" w:type="dxa"/>
          </w:tcPr>
          <w:p w:rsidR="006B72B1" w:rsidRDefault="006B72B1">
            <w:pPr>
              <w:pStyle w:val="td"/>
            </w:pPr>
            <w:r>
              <w:t>__________________________________</w:t>
            </w:r>
          </w:p>
        </w:tc>
        <w:tc>
          <w:tcPr>
            <w:tcW w:w="5310" w:type="dxa"/>
          </w:tcPr>
          <w:p w:rsidR="006B72B1" w:rsidRDefault="006B72B1">
            <w:pPr>
              <w:pStyle w:val="td"/>
            </w:pPr>
            <w:r>
              <w:t>__________________________________________________</w:t>
            </w:r>
          </w:p>
        </w:tc>
      </w:tr>
      <w:tr w:rsidR="006B72B1">
        <w:tc>
          <w:tcPr>
            <w:tcW w:w="3660" w:type="dxa"/>
          </w:tcPr>
          <w:p w:rsidR="006B72B1" w:rsidRDefault="006B72B1">
            <w:pPr>
              <w:pStyle w:val="td"/>
            </w:pPr>
            <w:r>
              <w:t>__________________________________</w:t>
            </w:r>
          </w:p>
        </w:tc>
        <w:tc>
          <w:tcPr>
            <w:tcW w:w="5310" w:type="dxa"/>
          </w:tcPr>
          <w:p w:rsidR="006B72B1" w:rsidRDefault="006B72B1">
            <w:pPr>
              <w:pStyle w:val="td"/>
            </w:pPr>
            <w:r>
              <w:t>__________________________________________________</w:t>
            </w:r>
          </w:p>
        </w:tc>
      </w:tr>
    </w:tbl>
    <w:p w:rsidR="006B72B1" w:rsidRDefault="006B72B1">
      <w:pPr>
        <w:pStyle w:val="pNormalWeb"/>
        <w:ind w:firstLine="720"/>
      </w:pPr>
      <w:r>
        <w:t>The Court finds that the security interest of the above-named creditor is nonpurchase-money and nonpossessory in nature and impairs an exemption to which the debtor would otherwise be entitled under 11 U.S.C. § 522(b) and Chapter 41 of Title 15, Code of Laws of South Carolina, 1976 (as amended).  The security interest should therefore be avoided pursuant to 11 U.S.C. § 522(f)(1)(B).</w:t>
      </w:r>
    </w:p>
    <w:p w:rsidR="006B72B1" w:rsidRDefault="006B72B1">
      <w:pPr>
        <w:pStyle w:val="pNormalWeb"/>
        <w:ind w:firstLine="720"/>
      </w:pPr>
      <w:r>
        <w:t>Therefore, IT IS ORDERED that the nonpossessory, nonpurchase-money security interest held by the above-named creditor be, and hereby is, avoided.</w:t>
      </w:r>
    </w:p>
    <w:p w:rsidR="006B72B1" w:rsidRPr="00E17A63" w:rsidRDefault="006B72B1">
      <w:pPr>
        <w:pStyle w:val="pNormalWeb"/>
        <w:ind w:firstLine="720"/>
      </w:pPr>
      <w:r w:rsidRPr="00E17A63">
        <w:rPr>
          <w:rStyle w:val="variable"/>
          <w:bCs/>
        </w:rPr>
        <w:t>AND IT IS SO ORDERED.</w:t>
      </w:r>
    </w:p>
    <w:p w:rsidR="006B72B1" w:rsidRDefault="006B72B1">
      <w:pPr>
        <w:pStyle w:val="p"/>
      </w:pPr>
      <w:r>
        <w:t> </w:t>
      </w:r>
    </w:p>
    <w:p w:rsidR="006B72B1" w:rsidRDefault="006B72B1">
      <w:pPr>
        <w:pStyle w:val="p"/>
      </w:pPr>
      <w:r>
        <w:t> </w:t>
      </w:r>
    </w:p>
    <w:p w:rsidR="006B72B1" w:rsidRDefault="006B72B1">
      <w:pPr>
        <w:pStyle w:val="p"/>
      </w:pPr>
      <w:r>
        <w:t> </w:t>
      </w:r>
    </w:p>
    <w:p w:rsidR="006B72B1" w:rsidRDefault="006B72B1">
      <w:pPr>
        <w:pStyle w:val="p"/>
      </w:pPr>
      <w:r>
        <w:t xml:space="preserve">   </w:t>
      </w:r>
    </w:p>
    <w:p w:rsidR="006B72B1" w:rsidRDefault="006B72B1">
      <w:pPr>
        <w:pStyle w:val="p"/>
      </w:pPr>
      <w:r>
        <w:t> </w:t>
      </w:r>
    </w:p>
    <w:sectPr w:rsidR="006B72B1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2B1" w:rsidRDefault="006B72B1">
      <w:r>
        <w:separator/>
      </w:r>
    </w:p>
  </w:endnote>
  <w:endnote w:type="continuationSeparator" w:id="0">
    <w:p w:rsidR="006B72B1" w:rsidRDefault="006B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2B1" w:rsidRDefault="006B72B1">
    <w:pPr>
      <w:pStyle w:val="p"/>
      <w:jc w:val="center"/>
    </w:pPr>
    <w:r>
      <w:t xml:space="preserve">- </w:t>
    </w:r>
    <w:r>
      <w:rPr>
        <w:rStyle w:val="variable"/>
      </w:rPr>
      <w:fldChar w:fldCharType="begin"/>
    </w:r>
    <w:r>
      <w:rPr>
        <w:rStyle w:val="variable"/>
      </w:rPr>
      <w:instrText xml:space="preserve"> PAGE \* Arabic  \* MERGEFORMAT </w:instrText>
    </w:r>
    <w:r>
      <w:rPr>
        <w:rStyle w:val="variable"/>
      </w:rPr>
      <w:fldChar w:fldCharType="separate"/>
    </w:r>
    <w:r>
      <w:rPr>
        <w:rStyle w:val="variable"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2B1" w:rsidRDefault="006B72B1">
    <w:pPr>
      <w:pStyle w:val="p"/>
      <w:jc w:val="center"/>
    </w:pPr>
    <w:r>
      <w:t xml:space="preserve">- </w:t>
    </w:r>
    <w:r>
      <w:rPr>
        <w:rStyle w:val="variable"/>
      </w:rPr>
      <w:fldChar w:fldCharType="begin"/>
    </w:r>
    <w:r>
      <w:rPr>
        <w:rStyle w:val="variable"/>
      </w:rPr>
      <w:instrText xml:space="preserve"> PAGE \* Arabic  \* MERGEFORMAT </w:instrText>
    </w:r>
    <w:r>
      <w:rPr>
        <w:rStyle w:val="variable"/>
      </w:rPr>
      <w:fldChar w:fldCharType="separate"/>
    </w:r>
    <w:r w:rsidR="009E46AF">
      <w:rPr>
        <w:rStyle w:val="variable"/>
        <w:noProof/>
      </w:rPr>
      <w:t>1</w:t>
    </w:r>
    <w:r>
      <w:rPr>
        <w:rStyle w:val="variable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2B1" w:rsidRDefault="006B72B1">
      <w:r>
        <w:separator/>
      </w:r>
    </w:p>
  </w:footnote>
  <w:footnote w:type="continuationSeparator" w:id="0">
    <w:p w:rsidR="006B72B1" w:rsidRDefault="006B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2B1" w:rsidRDefault="006B72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stylePaneSortMethod w:val="00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A63"/>
    <w:rsid w:val="006B72B1"/>
    <w:rsid w:val="009E46AF"/>
    <w:rsid w:val="00E1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BE8CD0B-0347-4107-8C1E-21D7E851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qFormat/>
    <w:pPr>
      <w:outlineLvl w:val="0"/>
    </w:pPr>
  </w:style>
  <w:style w:type="paragraph" w:styleId="Heading2">
    <w:name w:val="heading 2"/>
    <w:qFormat/>
    <w:pPr>
      <w:outlineLvl w:val="1"/>
    </w:pPr>
  </w:style>
  <w:style w:type="paragraph" w:styleId="Heading3">
    <w:name w:val="heading 3"/>
    <w:qFormat/>
    <w:pPr>
      <w:outlineLvl w:val="2"/>
    </w:pPr>
  </w:style>
  <w:style w:type="paragraph" w:styleId="Heading4">
    <w:name w:val="heading 4"/>
    <w:qFormat/>
    <w:pPr>
      <w:outlineLvl w:val="3"/>
    </w:pPr>
  </w:style>
  <w:style w:type="paragraph" w:styleId="Heading5">
    <w:name w:val="heading 5"/>
    <w:qFormat/>
    <w:pPr>
      <w:outlineLvl w:val="4"/>
    </w:pPr>
  </w:style>
  <w:style w:type="paragraph" w:styleId="Heading6">
    <w:name w:val="heading 6"/>
    <w:qFormat/>
    <w:pPr>
      <w:outlineLvl w:val="5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pPr>
      <w:spacing w:before="224" w:after="224"/>
    </w:pPr>
    <w:rPr>
      <w:color w:val="000000"/>
    </w:rPr>
  </w:style>
  <w:style w:type="character" w:customStyle="1" w:styleId="variable">
    <w:name w:val="variable"/>
    <w:rPr>
      <w:color w:val="000000"/>
      <w:sz w:val="20"/>
      <w:szCs w:val="20"/>
    </w:rPr>
  </w:style>
  <w:style w:type="paragraph" w:customStyle="1" w:styleId="h1">
    <w:name w:val="h1"/>
    <w:basedOn w:val="Heading1"/>
    <w:pPr>
      <w:keepNext/>
      <w:keepLines/>
      <w:pageBreakBefore/>
      <w:spacing w:before="268" w:after="268"/>
    </w:pPr>
    <w:rPr>
      <w:b/>
      <w:bCs/>
      <w:color w:val="000000"/>
      <w:sz w:val="40"/>
      <w:szCs w:val="40"/>
    </w:rPr>
  </w:style>
  <w:style w:type="paragraph" w:styleId="TOC1">
    <w:name w:val="toc 1"/>
    <w:semiHidden/>
    <w:pPr>
      <w:tabs>
        <w:tab w:val="right" w:leader="dot" w:pos="7900"/>
      </w:tabs>
      <w:spacing w:before="268" w:after="268"/>
    </w:pPr>
    <w:rPr>
      <w:b/>
      <w:bCs/>
      <w:sz w:val="24"/>
      <w:szCs w:val="24"/>
    </w:rPr>
  </w:style>
  <w:style w:type="paragraph" w:styleId="TOC2">
    <w:name w:val="toc 2"/>
    <w:semiHidden/>
    <w:pPr>
      <w:tabs>
        <w:tab w:val="right" w:leader="dot" w:pos="7900"/>
      </w:tabs>
      <w:spacing w:before="268" w:after="268"/>
      <w:ind w:left="200"/>
    </w:pPr>
    <w:rPr>
      <w:sz w:val="24"/>
      <w:szCs w:val="24"/>
    </w:rPr>
  </w:style>
  <w:style w:type="paragraph" w:styleId="TOC3">
    <w:name w:val="toc 3"/>
    <w:semiHidden/>
    <w:pPr>
      <w:tabs>
        <w:tab w:val="right" w:leader="dot" w:pos="7900"/>
      </w:tabs>
      <w:spacing w:before="268" w:after="268"/>
      <w:ind w:left="400"/>
    </w:pPr>
    <w:rPr>
      <w:sz w:val="24"/>
      <w:szCs w:val="24"/>
    </w:rPr>
  </w:style>
  <w:style w:type="paragraph" w:styleId="TOC4">
    <w:name w:val="toc 4"/>
    <w:semiHidden/>
    <w:pPr>
      <w:tabs>
        <w:tab w:val="right" w:leader="dot" w:pos="7900"/>
      </w:tabs>
      <w:spacing w:before="268" w:after="268"/>
      <w:ind w:left="600"/>
    </w:pPr>
    <w:rPr>
      <w:sz w:val="24"/>
      <w:szCs w:val="24"/>
    </w:rPr>
  </w:style>
  <w:style w:type="paragraph" w:styleId="TOC5">
    <w:name w:val="toc 5"/>
    <w:semiHidden/>
    <w:pPr>
      <w:tabs>
        <w:tab w:val="right" w:leader="dot" w:pos="7900"/>
      </w:tabs>
      <w:spacing w:before="268" w:after="268"/>
      <w:ind w:left="800"/>
    </w:pPr>
    <w:rPr>
      <w:sz w:val="24"/>
      <w:szCs w:val="24"/>
    </w:rPr>
  </w:style>
  <w:style w:type="paragraph" w:styleId="TOC6">
    <w:name w:val="toc 6"/>
    <w:semiHidden/>
    <w:pPr>
      <w:tabs>
        <w:tab w:val="right" w:leader="dot" w:pos="7900"/>
      </w:tabs>
      <w:spacing w:before="268" w:after="268"/>
      <w:ind w:left="1000"/>
    </w:pPr>
    <w:rPr>
      <w:sz w:val="24"/>
      <w:szCs w:val="24"/>
    </w:rPr>
  </w:style>
  <w:style w:type="paragraph" w:styleId="TOC7">
    <w:name w:val="toc 7"/>
    <w:semiHidden/>
    <w:pPr>
      <w:tabs>
        <w:tab w:val="right" w:leader="dot" w:pos="7900"/>
      </w:tabs>
      <w:spacing w:before="268" w:after="268"/>
      <w:ind w:left="1200"/>
    </w:pPr>
    <w:rPr>
      <w:sz w:val="24"/>
      <w:szCs w:val="24"/>
    </w:rPr>
  </w:style>
  <w:style w:type="paragraph" w:styleId="TOC8">
    <w:name w:val="toc 8"/>
    <w:semiHidden/>
    <w:pPr>
      <w:tabs>
        <w:tab w:val="right" w:leader="dot" w:pos="7900"/>
      </w:tabs>
      <w:spacing w:before="268" w:after="268"/>
      <w:ind w:left="1400"/>
    </w:pPr>
    <w:rPr>
      <w:sz w:val="24"/>
      <w:szCs w:val="24"/>
    </w:rPr>
  </w:style>
  <w:style w:type="paragraph" w:styleId="TOC9">
    <w:name w:val="toc 9"/>
    <w:semiHidden/>
    <w:pPr>
      <w:tabs>
        <w:tab w:val="right" w:leader="dot" w:pos="7900"/>
      </w:tabs>
      <w:spacing w:before="268" w:after="268"/>
      <w:ind w:left="1600"/>
    </w:pPr>
    <w:rPr>
      <w:sz w:val="24"/>
      <w:szCs w:val="24"/>
    </w:rPr>
  </w:style>
  <w:style w:type="paragraph" w:customStyle="1" w:styleId="pNormalWeb">
    <w:name w:val="p_NormalWeb"/>
    <w:pPr>
      <w:spacing w:before="224" w:after="224"/>
    </w:pPr>
    <w:rPr>
      <w:color w:val="000000"/>
    </w:rPr>
  </w:style>
  <w:style w:type="paragraph" w:customStyle="1" w:styleId="td">
    <w:name w:val="td"/>
    <w:rPr>
      <w:color w:val="000000"/>
    </w:rPr>
  </w:style>
  <w:style w:type="character" w:styleId="Hyperlink">
    <w:name w:val="Hyperlink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Table_of_Contents</vt:lpstr>
    </vt:vector>
  </TitlesOfParts>
  <Company>MadCap Software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Table_of_Contents</dc:title>
  <dc:subject/>
  <dc:creator>MadCap Software</dc:creator>
  <cp:keywords/>
  <cp:lastModifiedBy>Lisa Huppertz</cp:lastModifiedBy>
  <cp:revision>2</cp:revision>
  <cp:lastPrinted>1601-01-01T00:00:00Z</cp:lastPrinted>
  <dcterms:created xsi:type="dcterms:W3CDTF">2017-12-05T19:59:00Z</dcterms:created>
  <dcterms:modified xsi:type="dcterms:W3CDTF">2017-12-05T19:59:00Z</dcterms:modified>
</cp:coreProperties>
</file>