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BAF" w:rsidRDefault="00484BAF">
      <w:pPr>
        <w:pStyle w:val="p"/>
        <w:jc w:val="center"/>
      </w:pPr>
      <w:bookmarkStart w:id="0" w:name="_GoBack"/>
      <w:bookmarkEnd w:id="0"/>
      <w:r>
        <w:t>UNITED STATES BANKRUPTCY COURT</w:t>
      </w:r>
    </w:p>
    <w:p w:rsidR="00484BAF" w:rsidRDefault="00484BAF">
      <w:pPr>
        <w:pStyle w:val="p"/>
        <w:jc w:val="center"/>
      </w:pPr>
      <w:r>
        <w:t>DISTRICT OF SOUTH CAROLINA</w:t>
      </w:r>
    </w:p>
    <w:tbl>
      <w:tblPr>
        <w:tblW w:w="9090" w:type="dxa"/>
        <w:tblLayout w:type="fixed"/>
        <w:tblLook w:val="0000" w:firstRow="0" w:lastRow="0" w:firstColumn="0" w:lastColumn="0" w:noHBand="0" w:noVBand="0"/>
      </w:tblPr>
      <w:tblGrid>
        <w:gridCol w:w="4455"/>
        <w:gridCol w:w="4635"/>
      </w:tblGrid>
      <w:tr w:rsidR="00484BAF" w:rsidTr="008D12C2">
        <w:tc>
          <w:tcPr>
            <w:tcW w:w="4455" w:type="dxa"/>
            <w:tcBorders>
              <w:bottom w:val="single" w:sz="6" w:space="0" w:color="auto"/>
              <w:right w:val="single" w:sz="6" w:space="0" w:color="auto"/>
            </w:tcBorders>
          </w:tcPr>
          <w:p w:rsidR="00484BAF" w:rsidRDefault="00484BAF">
            <w:pPr>
              <w:pStyle w:val="p"/>
            </w:pPr>
            <w:r>
              <w:t>IN RE:</w:t>
            </w:r>
          </w:p>
          <w:p w:rsidR="00484BAF" w:rsidRDefault="00484BAF">
            <w:pPr>
              <w:pStyle w:val="p"/>
            </w:pPr>
            <w:r>
              <w:t> </w:t>
            </w:r>
          </w:p>
          <w:p w:rsidR="00484BAF" w:rsidRDefault="00484BAF">
            <w:pPr>
              <w:pStyle w:val="p"/>
            </w:pPr>
            <w:r>
              <w:t> </w:t>
            </w:r>
          </w:p>
          <w:p w:rsidR="00484BAF" w:rsidRDefault="00484BAF">
            <w:pPr>
              <w:pStyle w:val="p"/>
            </w:pPr>
            <w:r>
              <w:t> </w:t>
            </w:r>
          </w:p>
          <w:p w:rsidR="00484BAF" w:rsidRDefault="00484BAF">
            <w:pPr>
              <w:pStyle w:val="p"/>
            </w:pPr>
            <w:r>
              <w:t> </w:t>
            </w:r>
          </w:p>
          <w:p w:rsidR="00484BAF" w:rsidRDefault="00484BAF">
            <w:pPr>
              <w:pStyle w:val="p"/>
            </w:pPr>
            <w:r>
              <w:t>DEBTOR(S)</w:t>
            </w:r>
          </w:p>
        </w:tc>
        <w:tc>
          <w:tcPr>
            <w:tcW w:w="4635" w:type="dxa"/>
          </w:tcPr>
          <w:p w:rsidR="00484BAF" w:rsidRDefault="00484BAF">
            <w:pPr>
              <w:pStyle w:val="p"/>
            </w:pPr>
            <w:r>
              <w:t xml:space="preserve">CASE NO: </w:t>
            </w:r>
          </w:p>
          <w:p w:rsidR="00484BAF" w:rsidRDefault="00484BAF">
            <w:pPr>
              <w:pStyle w:val="p"/>
            </w:pPr>
            <w:r>
              <w:t>CHAPTER:</w:t>
            </w:r>
          </w:p>
          <w:p w:rsidR="00484BAF" w:rsidRDefault="00484BAF">
            <w:pPr>
              <w:pStyle w:val="p"/>
            </w:pPr>
            <w:r>
              <w:t> </w:t>
            </w:r>
          </w:p>
          <w:p w:rsidR="00484BAF" w:rsidRDefault="00484BAF">
            <w:pPr>
              <w:pStyle w:val="p1"/>
            </w:pPr>
            <w:r>
              <w:t>ORDER AVOIDING JUDICIAL LIEN (11 U.S.C. § 522(F)(1)(A))</w:t>
            </w:r>
            <w:r>
              <w:rPr>
                <w:rStyle w:val="FootnoteReference"/>
              </w:rPr>
              <w:footnoteReference w:id="1"/>
            </w:r>
          </w:p>
        </w:tc>
      </w:tr>
    </w:tbl>
    <w:p w:rsidR="00484BAF" w:rsidRDefault="00484BAF">
      <w:pPr>
        <w:pStyle w:val="pNormalWeb"/>
      </w:pPr>
      <w:r>
        <w:t>Before the Court is the motion of the debtor to avoid the judicial lien held by the following creditor:</w:t>
      </w:r>
    </w:p>
    <w:p w:rsidR="00484BAF" w:rsidRDefault="00484BAF">
      <w:pPr>
        <w:pStyle w:val="pNormalWeb"/>
      </w:pPr>
      <w:r>
        <w:t> </w:t>
      </w:r>
    </w:p>
    <w:tbl>
      <w:tblPr>
        <w:tblW w:w="0" w:type="auto"/>
        <w:tblBorders>
          <w:top w:val="single" w:sz="6" w:space="0" w:color="auto"/>
          <w:left w:val="single" w:sz="6" w:space="0" w:color="auto"/>
          <w:bottom w:val="single" w:sz="6" w:space="0" w:color="auto"/>
          <w:right w:val="single" w:sz="6" w:space="0" w:color="auto"/>
          <w:insideH w:val="nil"/>
          <w:insideV w:val="nil"/>
        </w:tblBorders>
        <w:tblLook w:val="0000" w:firstRow="0" w:lastRow="0" w:firstColumn="0" w:lastColumn="0" w:noHBand="0" w:noVBand="0"/>
      </w:tblPr>
      <w:tblGrid>
        <w:gridCol w:w="2100"/>
        <w:gridCol w:w="1016"/>
        <w:gridCol w:w="1350"/>
        <w:gridCol w:w="1470"/>
        <w:gridCol w:w="1552"/>
        <w:gridCol w:w="878"/>
        <w:gridCol w:w="850"/>
      </w:tblGrid>
      <w:tr w:rsidR="00484BAF" w:rsidTr="008D12C2">
        <w:tc>
          <w:tcPr>
            <w:tcW w:w="2100" w:type="dxa"/>
            <w:tcBorders>
              <w:bottom w:val="single" w:sz="6" w:space="0" w:color="auto"/>
              <w:right w:val="single" w:sz="6" w:space="0" w:color="auto"/>
            </w:tcBorders>
          </w:tcPr>
          <w:p w:rsidR="00484BAF" w:rsidRDefault="00484BAF">
            <w:pPr>
              <w:pStyle w:val="pNormalWeb"/>
            </w:pPr>
            <w:r>
              <w:t>Name of creditor and description of property securing lien</w:t>
            </w:r>
          </w:p>
        </w:tc>
        <w:tc>
          <w:tcPr>
            <w:tcW w:w="1016" w:type="dxa"/>
            <w:tcBorders>
              <w:left w:val="single" w:sz="6" w:space="0" w:color="auto"/>
              <w:bottom w:val="single" w:sz="6" w:space="0" w:color="auto"/>
              <w:right w:val="single" w:sz="6" w:space="0" w:color="auto"/>
            </w:tcBorders>
          </w:tcPr>
          <w:p w:rsidR="00484BAF" w:rsidRDefault="00484BAF">
            <w:pPr>
              <w:pStyle w:val="pNormalWeb"/>
            </w:pPr>
            <w:r>
              <w:t xml:space="preserve">Estimated judicial lien </w:t>
            </w:r>
          </w:p>
        </w:tc>
        <w:tc>
          <w:tcPr>
            <w:tcW w:w="1350" w:type="dxa"/>
            <w:tcBorders>
              <w:left w:val="single" w:sz="6" w:space="0" w:color="auto"/>
              <w:bottom w:val="single" w:sz="6" w:space="0" w:color="auto"/>
              <w:right w:val="single" w:sz="6" w:space="0" w:color="auto"/>
            </w:tcBorders>
          </w:tcPr>
          <w:p w:rsidR="00484BAF" w:rsidRDefault="00484BAF">
            <w:pPr>
              <w:pStyle w:val="pNormalWeb"/>
            </w:pPr>
            <w:r>
              <w:t>Total of all senior/ unavoidable liens</w:t>
            </w:r>
          </w:p>
        </w:tc>
        <w:tc>
          <w:tcPr>
            <w:tcW w:w="1470" w:type="dxa"/>
            <w:tcBorders>
              <w:left w:val="single" w:sz="6" w:space="0" w:color="auto"/>
              <w:bottom w:val="single" w:sz="6" w:space="0" w:color="auto"/>
              <w:right w:val="single" w:sz="6" w:space="0" w:color="auto"/>
            </w:tcBorders>
          </w:tcPr>
          <w:p w:rsidR="00484BAF" w:rsidRDefault="00484BAF">
            <w:pPr>
              <w:pStyle w:val="pNormalWeb"/>
            </w:pPr>
            <w:r>
              <w:t>Applicable Exemption and Code Section</w:t>
            </w:r>
          </w:p>
        </w:tc>
        <w:tc>
          <w:tcPr>
            <w:tcW w:w="1552" w:type="dxa"/>
            <w:tcBorders>
              <w:left w:val="single" w:sz="6" w:space="0" w:color="auto"/>
              <w:bottom w:val="single" w:sz="6" w:space="0" w:color="auto"/>
              <w:right w:val="single" w:sz="6" w:space="0" w:color="auto"/>
            </w:tcBorders>
          </w:tcPr>
          <w:p w:rsidR="00484BAF" w:rsidRDefault="00484BAF">
            <w:pPr>
              <w:pStyle w:val="pNormalWeb"/>
            </w:pPr>
            <w:r>
              <w:t>Value of the debtor's interest in property</w:t>
            </w:r>
          </w:p>
        </w:tc>
        <w:tc>
          <w:tcPr>
            <w:tcW w:w="878" w:type="dxa"/>
            <w:tcBorders>
              <w:left w:val="single" w:sz="6" w:space="0" w:color="auto"/>
              <w:bottom w:val="single" w:sz="6" w:space="0" w:color="auto"/>
              <w:right w:val="single" w:sz="6" w:space="0" w:color="auto"/>
            </w:tcBorders>
          </w:tcPr>
          <w:p w:rsidR="00484BAF" w:rsidRDefault="00484BAF">
            <w:pPr>
              <w:pStyle w:val="pNormalWeb"/>
            </w:pPr>
            <w:r>
              <w:t xml:space="preserve">Judicial lien not avoided </w:t>
            </w:r>
          </w:p>
        </w:tc>
        <w:tc>
          <w:tcPr>
            <w:tcW w:w="829" w:type="dxa"/>
            <w:tcBorders>
              <w:left w:val="single" w:sz="6" w:space="0" w:color="auto"/>
              <w:bottom w:val="single" w:sz="6" w:space="0" w:color="auto"/>
            </w:tcBorders>
          </w:tcPr>
          <w:p w:rsidR="00484BAF" w:rsidRDefault="00484BAF">
            <w:pPr>
              <w:pStyle w:val="pNormalWeb"/>
            </w:pPr>
            <w:r>
              <w:t>Judicial lien avoided</w:t>
            </w:r>
          </w:p>
        </w:tc>
      </w:tr>
      <w:tr w:rsidR="00484BAF" w:rsidTr="008D12C2">
        <w:tc>
          <w:tcPr>
            <w:tcW w:w="2100" w:type="dxa"/>
            <w:tcBorders>
              <w:top w:val="single" w:sz="6" w:space="0" w:color="auto"/>
              <w:right w:val="single" w:sz="6" w:space="0" w:color="auto"/>
            </w:tcBorders>
          </w:tcPr>
          <w:p w:rsidR="00484BAF" w:rsidRDefault="00484BAF">
            <w:pPr>
              <w:pStyle w:val="pNormalWeb"/>
            </w:pPr>
            <w:r>
              <w:t> </w:t>
            </w:r>
          </w:p>
        </w:tc>
        <w:tc>
          <w:tcPr>
            <w:tcW w:w="1016" w:type="dxa"/>
            <w:tcBorders>
              <w:top w:val="single" w:sz="6" w:space="0" w:color="auto"/>
              <w:left w:val="single" w:sz="6" w:space="0" w:color="auto"/>
              <w:right w:val="single" w:sz="6" w:space="0" w:color="auto"/>
            </w:tcBorders>
          </w:tcPr>
          <w:p w:rsidR="00484BAF" w:rsidRDefault="00484BAF">
            <w:pPr>
              <w:pStyle w:val="pNormalWeb"/>
            </w:pPr>
            <w:r>
              <w:t> </w:t>
            </w:r>
          </w:p>
        </w:tc>
        <w:tc>
          <w:tcPr>
            <w:tcW w:w="1350" w:type="dxa"/>
            <w:tcBorders>
              <w:top w:val="single" w:sz="6" w:space="0" w:color="auto"/>
              <w:left w:val="single" w:sz="6" w:space="0" w:color="auto"/>
              <w:right w:val="single" w:sz="6" w:space="0" w:color="auto"/>
            </w:tcBorders>
          </w:tcPr>
          <w:p w:rsidR="00484BAF" w:rsidRDefault="00484BAF">
            <w:pPr>
              <w:pStyle w:val="pNormalWeb"/>
            </w:pPr>
            <w:r>
              <w:t> </w:t>
            </w:r>
          </w:p>
        </w:tc>
        <w:tc>
          <w:tcPr>
            <w:tcW w:w="1470" w:type="dxa"/>
            <w:tcBorders>
              <w:top w:val="single" w:sz="6" w:space="0" w:color="auto"/>
              <w:left w:val="single" w:sz="6" w:space="0" w:color="auto"/>
              <w:right w:val="single" w:sz="6" w:space="0" w:color="auto"/>
            </w:tcBorders>
          </w:tcPr>
          <w:p w:rsidR="00484BAF" w:rsidRDefault="00484BAF">
            <w:pPr>
              <w:pStyle w:val="pNormalWeb"/>
            </w:pPr>
            <w:r>
              <w:t> </w:t>
            </w:r>
          </w:p>
        </w:tc>
        <w:tc>
          <w:tcPr>
            <w:tcW w:w="1552" w:type="dxa"/>
            <w:tcBorders>
              <w:top w:val="single" w:sz="6" w:space="0" w:color="auto"/>
              <w:left w:val="single" w:sz="6" w:space="0" w:color="auto"/>
              <w:right w:val="single" w:sz="6" w:space="0" w:color="auto"/>
            </w:tcBorders>
          </w:tcPr>
          <w:p w:rsidR="00484BAF" w:rsidRDefault="00484BAF">
            <w:pPr>
              <w:pStyle w:val="pNormalWeb"/>
            </w:pPr>
            <w:r>
              <w:t> </w:t>
            </w:r>
          </w:p>
        </w:tc>
        <w:tc>
          <w:tcPr>
            <w:tcW w:w="878" w:type="dxa"/>
            <w:tcBorders>
              <w:top w:val="single" w:sz="6" w:space="0" w:color="auto"/>
              <w:left w:val="single" w:sz="6" w:space="0" w:color="auto"/>
              <w:right w:val="single" w:sz="6" w:space="0" w:color="auto"/>
            </w:tcBorders>
          </w:tcPr>
          <w:p w:rsidR="00484BAF" w:rsidRDefault="00484BAF">
            <w:pPr>
              <w:pStyle w:val="pNormalWeb"/>
            </w:pPr>
            <w:r>
              <w:t> </w:t>
            </w:r>
          </w:p>
        </w:tc>
        <w:tc>
          <w:tcPr>
            <w:tcW w:w="829" w:type="dxa"/>
            <w:tcBorders>
              <w:top w:val="single" w:sz="6" w:space="0" w:color="auto"/>
              <w:left w:val="single" w:sz="6" w:space="0" w:color="auto"/>
            </w:tcBorders>
          </w:tcPr>
          <w:p w:rsidR="00484BAF" w:rsidRDefault="00484BAF">
            <w:pPr>
              <w:pStyle w:val="pNormalWeb"/>
            </w:pPr>
            <w:r>
              <w:t> </w:t>
            </w:r>
          </w:p>
        </w:tc>
      </w:tr>
    </w:tbl>
    <w:p w:rsidR="00484BAF" w:rsidRDefault="00484BAF">
      <w:pPr>
        <w:pStyle w:val="pNormalWeb"/>
        <w:ind w:firstLine="720"/>
      </w:pPr>
      <w:r>
        <w:t>The Court finds that the judicial lien of the above-named creditor impairs the exemptions to which the debtor would otherwise be entitled under 11 U.S.C. § 522(b) and Chapter 41 of Title 15, Code of Laws of South Carolina, 1976 (as amended), and that the judicial lien should therefore be avoided pursuant to 11 U.S.C. § 522(f)(1)(A) in the amount set forth above.</w:t>
      </w:r>
    </w:p>
    <w:p w:rsidR="00484BAF" w:rsidRDefault="00484BAF">
      <w:pPr>
        <w:pStyle w:val="p"/>
        <w:ind w:firstLine="720"/>
      </w:pPr>
      <w:r>
        <w:t xml:space="preserve">Therefore, IT IS ORDERED that the judicial lien held by the above-named creditor be, and hereby is, avoided in the amount set forth above.  Any judicial lien set forth above which is avoided in full may be canceled of record at any time after thirty (30) days after a discharge in this case is granted. </w:t>
      </w:r>
    </w:p>
    <w:p w:rsidR="00484BAF" w:rsidRDefault="00484BAF">
      <w:pPr>
        <w:pStyle w:val="p"/>
        <w:ind w:firstLine="720"/>
      </w:pPr>
      <w:r>
        <w:t>AND IT IS SO ORDERED.</w:t>
      </w:r>
    </w:p>
    <w:p w:rsidR="00484BAF" w:rsidRDefault="00484BAF">
      <w:pPr>
        <w:pStyle w:val="p"/>
      </w:pPr>
      <w:r>
        <w:t xml:space="preserve">  </w:t>
      </w:r>
    </w:p>
    <w:p w:rsidR="00484BAF" w:rsidRDefault="00484BAF">
      <w:pPr>
        <w:pStyle w:val="p"/>
      </w:pPr>
      <w:r>
        <w:t> </w:t>
      </w:r>
    </w:p>
    <w:sectPr w:rsidR="00484BAF">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BAF" w:rsidRDefault="00484BAF">
      <w:r>
        <w:separator/>
      </w:r>
    </w:p>
  </w:endnote>
  <w:endnote w:type="continuationSeparator" w:id="0">
    <w:p w:rsidR="00484BAF" w:rsidRDefault="0048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AF" w:rsidRDefault="00484BA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AF" w:rsidRDefault="00484BA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2E7FA2">
      <w:rPr>
        <w:rStyle w:val="variable"/>
        <w:noProof/>
      </w:rPr>
      <w:t>1</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BAF" w:rsidRDefault="00484BAF">
      <w:r>
        <w:separator/>
      </w:r>
    </w:p>
  </w:footnote>
  <w:footnote w:type="continuationSeparator" w:id="0">
    <w:p w:rsidR="00484BAF" w:rsidRDefault="00484BAF">
      <w:r>
        <w:continuationSeparator/>
      </w:r>
    </w:p>
  </w:footnote>
  <w:footnote w:id="1">
    <w:p w:rsidR="00484BAF" w:rsidRDefault="00484BAF">
      <w:pPr>
        <w:pStyle w:val="footnoteBlock"/>
      </w:pPr>
      <w:r>
        <w:rPr>
          <w:rStyle w:val="FootnoteReference"/>
        </w:rPr>
        <w:footnoteRef/>
      </w:r>
      <w:r>
        <w:rPr>
          <w:rStyle w:val="span"/>
        </w:rPr>
        <w:t xml:space="preserve">  This form is for use only in chapter 7 and chapter 11 cases where the property subject to the lien is not co-owned as contemplated in </w:t>
      </w:r>
      <w:r>
        <w:rPr>
          <w:rStyle w:val="u"/>
        </w:rPr>
        <w:t>In re Ware</w:t>
      </w:r>
      <w:r>
        <w:rPr>
          <w:rStyle w:val="span"/>
        </w:rPr>
        <w:t>, 274 B.R. 206 (Bankr. D.S.C. 2001).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AF" w:rsidRDefault="00484BA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2C2"/>
    <w:rsid w:val="002E7FA2"/>
    <w:rsid w:val="00484BAF"/>
    <w:rsid w:val="008D12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CD88BCC3-DD33-4FD2-B8A2-50AE9D2D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1">
    <w:name w:val="p_1"/>
    <w:pPr>
      <w:spacing w:before="224" w:after="224"/>
      <w:jc w:val="center"/>
    </w:pPr>
    <w:rPr>
      <w:color w:val="000000"/>
    </w:rPr>
  </w:style>
  <w:style w:type="character" w:styleId="FootnoteReference">
    <w:name w:val="footnote reference"/>
    <w:semiHidden/>
    <w:rPr>
      <w:vertAlign w:val="superscript"/>
    </w:rPr>
  </w:style>
  <w:style w:type="character" w:customStyle="1" w:styleId="span">
    <w:name w:val="span"/>
    <w:rPr>
      <w:color w:val="000000"/>
      <w:sz w:val="16"/>
      <w:szCs w:val="16"/>
    </w:rPr>
  </w:style>
  <w:style w:type="paragraph" w:customStyle="1" w:styleId="footnoteBlock">
    <w:name w:val="footnoteBlock"/>
    <w:rPr>
      <w:color w:val="000000"/>
    </w:rPr>
  </w:style>
  <w:style w:type="character" w:customStyle="1" w:styleId="u">
    <w:name w:val="u"/>
    <w:rPr>
      <w:color w:val="000000"/>
      <w:sz w:val="16"/>
      <w:szCs w:val="16"/>
      <w:u w:val="single"/>
    </w:rPr>
  </w:style>
  <w:style w:type="paragraph" w:customStyle="1" w:styleId="pNormalWeb">
    <w:name w:val="p_NormalWeb"/>
    <w:pPr>
      <w:spacing w:before="224" w:after="224"/>
    </w:pPr>
    <w:rPr>
      <w:color w:val="00000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Lisa Huppertz</cp:lastModifiedBy>
  <cp:revision>2</cp:revision>
  <cp:lastPrinted>1601-01-01T00:00:00Z</cp:lastPrinted>
  <dcterms:created xsi:type="dcterms:W3CDTF">2017-12-05T19:54:00Z</dcterms:created>
  <dcterms:modified xsi:type="dcterms:W3CDTF">2017-12-05T19:54:00Z</dcterms:modified>
</cp:coreProperties>
</file>