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E0F" w:rsidRDefault="00955E0F">
      <w:pPr>
        <w:pStyle w:val="p"/>
        <w:jc w:val="center"/>
      </w:pPr>
      <w:bookmarkStart w:id="0" w:name="_GoBack"/>
      <w:bookmarkEnd w:id="0"/>
      <w:r>
        <w:t>UNITED STATES BANKRUPTCY COURT</w:t>
      </w:r>
    </w:p>
    <w:p w:rsidR="00955E0F" w:rsidRDefault="00955E0F">
      <w:pPr>
        <w:pStyle w:val="p"/>
        <w:jc w:val="center"/>
      </w:pPr>
      <w:r>
        <w:t>DISTRICT OF SOUTH CAROLINA</w:t>
      </w:r>
    </w:p>
    <w:tbl>
      <w:tblPr>
        <w:tblW w:w="8940" w:type="dxa"/>
        <w:tblLayout w:type="fixed"/>
        <w:tblLook w:val="0000" w:firstRow="0" w:lastRow="0" w:firstColumn="0" w:lastColumn="0" w:noHBand="0" w:noVBand="0"/>
      </w:tblPr>
      <w:tblGrid>
        <w:gridCol w:w="4545"/>
        <w:gridCol w:w="4395"/>
      </w:tblGrid>
      <w:tr w:rsidR="00955E0F" w:rsidTr="003117FF">
        <w:tc>
          <w:tcPr>
            <w:tcW w:w="4545" w:type="dxa"/>
            <w:tcBorders>
              <w:bottom w:val="single" w:sz="6" w:space="0" w:color="auto"/>
              <w:right w:val="single" w:sz="6" w:space="0" w:color="auto"/>
            </w:tcBorders>
          </w:tcPr>
          <w:p w:rsidR="00955E0F" w:rsidRDefault="00955E0F">
            <w:pPr>
              <w:pStyle w:val="p"/>
            </w:pPr>
            <w:r>
              <w:t>IN RE:</w:t>
            </w:r>
          </w:p>
          <w:p w:rsidR="00955E0F" w:rsidRDefault="00955E0F">
            <w:pPr>
              <w:pStyle w:val="p"/>
            </w:pPr>
            <w:r>
              <w:t> </w:t>
            </w:r>
          </w:p>
          <w:p w:rsidR="00955E0F" w:rsidRDefault="00955E0F">
            <w:pPr>
              <w:pStyle w:val="p"/>
            </w:pPr>
            <w:r>
              <w:t> </w:t>
            </w:r>
          </w:p>
          <w:p w:rsidR="00955E0F" w:rsidRDefault="00955E0F">
            <w:pPr>
              <w:pStyle w:val="p"/>
            </w:pPr>
            <w:r>
              <w:t> </w:t>
            </w:r>
          </w:p>
          <w:p w:rsidR="00955E0F" w:rsidRDefault="00955E0F">
            <w:pPr>
              <w:pStyle w:val="p"/>
            </w:pPr>
            <w:r>
              <w:t> </w:t>
            </w:r>
          </w:p>
          <w:p w:rsidR="00955E0F" w:rsidRDefault="00955E0F">
            <w:pPr>
              <w:pStyle w:val="p"/>
            </w:pPr>
            <w:r>
              <w:t>DEBTOR(S)</w:t>
            </w:r>
          </w:p>
        </w:tc>
        <w:tc>
          <w:tcPr>
            <w:tcW w:w="4395" w:type="dxa"/>
          </w:tcPr>
          <w:p w:rsidR="00955E0F" w:rsidRDefault="00955E0F">
            <w:pPr>
              <w:pStyle w:val="p"/>
            </w:pPr>
            <w:r>
              <w:t xml:space="preserve">CASE NO: </w:t>
            </w:r>
          </w:p>
          <w:p w:rsidR="00955E0F" w:rsidRDefault="00955E0F">
            <w:pPr>
              <w:pStyle w:val="p"/>
            </w:pPr>
            <w:r>
              <w:t>CHAPTER:</w:t>
            </w:r>
          </w:p>
          <w:p w:rsidR="00955E0F" w:rsidRDefault="00955E0F">
            <w:pPr>
              <w:pStyle w:val="p"/>
            </w:pPr>
            <w:r>
              <w:t> </w:t>
            </w:r>
          </w:p>
          <w:p w:rsidR="00955E0F" w:rsidRDefault="00955E0F">
            <w:pPr>
              <w:pStyle w:val="p"/>
            </w:pPr>
            <w:r>
              <w:t>MOTION TO AVOID JUDICIAL LIEN (11 U.S.C. § 522(F)(1)(A)) EQUITY ANALYSIS/ CO-OWNED PROPERTY</w:t>
            </w:r>
            <w:r>
              <w:rPr>
                <w:rStyle w:val="FootnoteReference"/>
              </w:rPr>
              <w:footnoteReference w:id="1"/>
            </w:r>
          </w:p>
        </w:tc>
      </w:tr>
    </w:tbl>
    <w:p w:rsidR="00955E0F" w:rsidRDefault="00955E0F">
      <w:pPr>
        <w:pStyle w:val="pNormalWeb"/>
      </w:pPr>
      <w:r>
        <w:t>TO THE TRUSTEE (if one is appointed) AND JUDGMENT LIEN CREDITOR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8"/>
        <w:gridCol w:w="1494"/>
        <w:gridCol w:w="1677"/>
        <w:gridCol w:w="1155"/>
        <w:gridCol w:w="1256"/>
        <w:gridCol w:w="1020"/>
        <w:gridCol w:w="851"/>
        <w:gridCol w:w="915"/>
      </w:tblGrid>
      <w:tr w:rsidR="00955E0F" w:rsidTr="003117FF">
        <w:tc>
          <w:tcPr>
            <w:tcW w:w="1208" w:type="dxa"/>
          </w:tcPr>
          <w:p w:rsidR="00955E0F" w:rsidRDefault="00955E0F">
            <w:pPr>
              <w:pStyle w:val="pNormalWeb"/>
            </w:pPr>
            <w:r>
              <w:t>Name of creditor and description of property securing lien</w:t>
            </w:r>
          </w:p>
        </w:tc>
        <w:tc>
          <w:tcPr>
            <w:tcW w:w="1494" w:type="dxa"/>
          </w:tcPr>
          <w:p w:rsidR="00955E0F" w:rsidRDefault="00955E0F">
            <w:pPr>
              <w:pStyle w:val="pNormalWeb"/>
            </w:pPr>
            <w:r>
              <w:t>Total Equity (Value of debtor's property less senior/ unavoidable liens)</w:t>
            </w:r>
            <w:r>
              <w:rPr>
                <w:rStyle w:val="FootnoteReference"/>
              </w:rPr>
              <w:footnoteReference w:id="2"/>
            </w:r>
          </w:p>
        </w:tc>
        <w:tc>
          <w:tcPr>
            <w:tcW w:w="1677" w:type="dxa"/>
          </w:tcPr>
          <w:p w:rsidR="00955E0F" w:rsidRDefault="00955E0F">
            <w:pPr>
              <w:pStyle w:val="pNormalWeb"/>
            </w:pPr>
            <w:r>
              <w:t>Debtor's Equity (Total equity multiplied by debtor's proportional interest in property)</w:t>
            </w:r>
            <w:r>
              <w:rPr>
                <w:rStyle w:val="FootnoteReference"/>
              </w:rPr>
              <w:footnoteReference w:id="3"/>
            </w:r>
          </w:p>
        </w:tc>
        <w:tc>
          <w:tcPr>
            <w:tcW w:w="1155" w:type="dxa"/>
          </w:tcPr>
          <w:p w:rsidR="00955E0F" w:rsidRDefault="00955E0F">
            <w:pPr>
              <w:pStyle w:val="pNormalWeb"/>
            </w:pPr>
            <w:r>
              <w:t xml:space="preserve">Applicable Exemption and Code Section </w:t>
            </w:r>
          </w:p>
        </w:tc>
        <w:tc>
          <w:tcPr>
            <w:tcW w:w="1256" w:type="dxa"/>
          </w:tcPr>
          <w:p w:rsidR="00955E0F" w:rsidRDefault="00955E0F">
            <w:pPr>
              <w:pStyle w:val="pNormalWeb"/>
            </w:pPr>
            <w:r>
              <w:t>Non-exempt Equity (Debtor's equity less exemption)</w:t>
            </w:r>
            <w:r>
              <w:rPr>
                <w:rStyle w:val="FootnoteReference"/>
              </w:rPr>
              <w:footnoteReference w:id="4"/>
            </w:r>
          </w:p>
          <w:p w:rsidR="00955E0F" w:rsidRDefault="00955E0F">
            <w:pPr>
              <w:pStyle w:val="pNormalWeb"/>
            </w:pPr>
            <w:r>
              <w:t> </w:t>
            </w:r>
          </w:p>
        </w:tc>
        <w:tc>
          <w:tcPr>
            <w:tcW w:w="1020" w:type="dxa"/>
          </w:tcPr>
          <w:p w:rsidR="00955E0F" w:rsidRDefault="00955E0F">
            <w:pPr>
              <w:pStyle w:val="pNormalWeb"/>
            </w:pPr>
            <w:r>
              <w:t>Estimated judicial lien</w:t>
            </w:r>
          </w:p>
        </w:tc>
        <w:tc>
          <w:tcPr>
            <w:tcW w:w="851" w:type="dxa"/>
          </w:tcPr>
          <w:p w:rsidR="00955E0F" w:rsidRDefault="00955E0F">
            <w:pPr>
              <w:pStyle w:val="pNormalWeb"/>
            </w:pPr>
            <w:r>
              <w:t xml:space="preserve">Judicial lien not avoided </w:t>
            </w:r>
          </w:p>
        </w:tc>
        <w:tc>
          <w:tcPr>
            <w:tcW w:w="915" w:type="dxa"/>
          </w:tcPr>
          <w:p w:rsidR="00955E0F" w:rsidRDefault="00955E0F">
            <w:pPr>
              <w:pStyle w:val="pNormalWeb"/>
            </w:pPr>
            <w:r>
              <w:t>Judicial lien avoided</w:t>
            </w:r>
            <w:r>
              <w:rPr>
                <w:rStyle w:val="FootnoteReference"/>
              </w:rPr>
              <w:footnoteReference w:id="5"/>
            </w:r>
          </w:p>
        </w:tc>
      </w:tr>
      <w:tr w:rsidR="00955E0F" w:rsidTr="003117FF">
        <w:tc>
          <w:tcPr>
            <w:tcW w:w="1208" w:type="dxa"/>
          </w:tcPr>
          <w:p w:rsidR="00955E0F" w:rsidRDefault="00955E0F">
            <w:pPr>
              <w:pStyle w:val="pNormalWeb"/>
            </w:pPr>
            <w:r>
              <w:t> </w:t>
            </w:r>
          </w:p>
        </w:tc>
        <w:tc>
          <w:tcPr>
            <w:tcW w:w="1494" w:type="dxa"/>
          </w:tcPr>
          <w:p w:rsidR="00955E0F" w:rsidRDefault="00955E0F">
            <w:pPr>
              <w:pStyle w:val="pNormalWeb"/>
            </w:pPr>
            <w:r>
              <w:t> </w:t>
            </w:r>
          </w:p>
        </w:tc>
        <w:tc>
          <w:tcPr>
            <w:tcW w:w="1677" w:type="dxa"/>
          </w:tcPr>
          <w:p w:rsidR="00955E0F" w:rsidRDefault="00955E0F">
            <w:pPr>
              <w:pStyle w:val="pNormalWeb"/>
            </w:pPr>
            <w:r>
              <w:t> </w:t>
            </w:r>
          </w:p>
        </w:tc>
        <w:tc>
          <w:tcPr>
            <w:tcW w:w="1155" w:type="dxa"/>
          </w:tcPr>
          <w:p w:rsidR="00955E0F" w:rsidRDefault="00955E0F">
            <w:pPr>
              <w:pStyle w:val="pNormalWeb"/>
            </w:pPr>
            <w:r>
              <w:t> </w:t>
            </w:r>
          </w:p>
        </w:tc>
        <w:tc>
          <w:tcPr>
            <w:tcW w:w="1256" w:type="dxa"/>
          </w:tcPr>
          <w:p w:rsidR="00955E0F" w:rsidRDefault="00955E0F">
            <w:pPr>
              <w:pStyle w:val="pNormalWeb"/>
            </w:pPr>
            <w:r>
              <w:t> </w:t>
            </w:r>
          </w:p>
        </w:tc>
        <w:tc>
          <w:tcPr>
            <w:tcW w:w="1020" w:type="dxa"/>
          </w:tcPr>
          <w:p w:rsidR="00955E0F" w:rsidRDefault="00955E0F">
            <w:pPr>
              <w:pStyle w:val="pNormalWeb"/>
            </w:pPr>
            <w:r>
              <w:t> </w:t>
            </w:r>
          </w:p>
        </w:tc>
        <w:tc>
          <w:tcPr>
            <w:tcW w:w="851" w:type="dxa"/>
          </w:tcPr>
          <w:p w:rsidR="00955E0F" w:rsidRDefault="00955E0F">
            <w:pPr>
              <w:pStyle w:val="pNormalWeb"/>
            </w:pPr>
            <w:r>
              <w:t> </w:t>
            </w:r>
          </w:p>
        </w:tc>
        <w:tc>
          <w:tcPr>
            <w:tcW w:w="915" w:type="dxa"/>
          </w:tcPr>
          <w:p w:rsidR="00955E0F" w:rsidRDefault="00955E0F">
            <w:pPr>
              <w:pStyle w:val="pNormalWeb"/>
            </w:pPr>
            <w:r>
              <w:t> </w:t>
            </w:r>
          </w:p>
        </w:tc>
      </w:tr>
    </w:tbl>
    <w:p w:rsidR="00955E0F" w:rsidRDefault="00955E0F">
      <w:pPr>
        <w:pStyle w:val="pNormalWeb"/>
        <w:ind w:firstLine="720"/>
      </w:pPr>
      <w:r>
        <w:t>The debtor hereby moves, in accordance with 11 U.S.C. § 522(f)(1)(A), to avoid the judicial lien of the creditor(s) named above in the amount listed above on the grounds that the judicial lien impairs the exemptions to which the debtor would otherwise be entitled under 11 U.S.C. § 522(b) and Chapter 41 of Title 15, Code of Laws of South Carolina, 1976 (as amended).  The undersigned certifies the following:</w:t>
      </w:r>
    </w:p>
    <w:p w:rsidR="00955E0F" w:rsidRDefault="00955E0F">
      <w:pPr>
        <w:pStyle w:val="pNormalWeb"/>
        <w:ind w:firstLine="720"/>
      </w:pPr>
      <w:r>
        <w:t>(a) The judicial lien referenced above represents a judgment which has been recorded in a county in which the debtor owns real estate or in which there is a levy/attachment on personal property; and</w:t>
      </w:r>
    </w:p>
    <w:p w:rsidR="00955E0F" w:rsidRDefault="00955E0F">
      <w:pPr>
        <w:pStyle w:val="pNormalWeb"/>
        <w:ind w:firstLine="720"/>
      </w:pPr>
      <w:r>
        <w:t xml:space="preserve">(b) The property on which the judicial lien is sought to be avoided is owned by the debtor and the debtor is entitled to an exemption therein.  </w:t>
      </w:r>
    </w:p>
    <w:p w:rsidR="00955E0F" w:rsidRDefault="00955E0F">
      <w:pPr>
        <w:pStyle w:val="pNormalWeb"/>
        <w:ind w:firstLine="720"/>
      </w:pPr>
      <w:r>
        <w:t> </w:t>
      </w:r>
    </w:p>
    <w:tbl>
      <w:tblPr>
        <w:tblW w:w="5000" w:type="pct"/>
        <w:tblLayout w:type="fixed"/>
        <w:tblLook w:val="0000" w:firstRow="0" w:lastRow="0" w:firstColumn="0" w:lastColumn="0" w:noHBand="0" w:noVBand="0"/>
      </w:tblPr>
      <w:tblGrid>
        <w:gridCol w:w="4003"/>
        <w:gridCol w:w="5573"/>
      </w:tblGrid>
      <w:tr w:rsidR="00955E0F" w:rsidTr="003117FF">
        <w:tc>
          <w:tcPr>
            <w:tcW w:w="4003" w:type="dxa"/>
          </w:tcPr>
          <w:p w:rsidR="00955E0F" w:rsidRDefault="00955E0F">
            <w:pPr>
              <w:pStyle w:val="td"/>
            </w:pPr>
            <w:r>
              <w:lastRenderedPageBreak/>
              <w:t>Date: __________________</w:t>
            </w:r>
          </w:p>
        </w:tc>
        <w:tc>
          <w:tcPr>
            <w:tcW w:w="5573" w:type="dxa"/>
          </w:tcPr>
          <w:p w:rsidR="00955E0F" w:rsidRDefault="00955E0F">
            <w:pPr>
              <w:pStyle w:val="td"/>
            </w:pPr>
            <w:r>
              <w:t>_________________________________</w:t>
            </w:r>
          </w:p>
        </w:tc>
      </w:tr>
      <w:tr w:rsidR="00955E0F" w:rsidTr="003117FF">
        <w:tc>
          <w:tcPr>
            <w:tcW w:w="3750" w:type="dxa"/>
          </w:tcPr>
          <w:p w:rsidR="00955E0F" w:rsidRDefault="00955E0F">
            <w:pPr>
              <w:pStyle w:val="td"/>
            </w:pPr>
            <w:r>
              <w:t> </w:t>
            </w:r>
          </w:p>
        </w:tc>
        <w:tc>
          <w:tcPr>
            <w:tcW w:w="5220" w:type="dxa"/>
          </w:tcPr>
          <w:p w:rsidR="00955E0F" w:rsidRDefault="00955E0F">
            <w:pPr>
              <w:pStyle w:val="td"/>
            </w:pPr>
            <w:r>
              <w:t>Signature of Attorney/</w:t>
            </w:r>
            <w:r>
              <w:rPr>
                <w:rStyle w:val="i"/>
              </w:rPr>
              <w:t>Pro Se</w:t>
            </w:r>
            <w:r>
              <w:t xml:space="preserve"> Debtor</w:t>
            </w:r>
          </w:p>
        </w:tc>
      </w:tr>
      <w:tr w:rsidR="00955E0F" w:rsidTr="003117FF">
        <w:tc>
          <w:tcPr>
            <w:tcW w:w="3750" w:type="dxa"/>
          </w:tcPr>
          <w:p w:rsidR="00955E0F" w:rsidRDefault="00955E0F">
            <w:pPr>
              <w:pStyle w:val="td"/>
            </w:pPr>
            <w:r>
              <w:t> </w:t>
            </w:r>
          </w:p>
        </w:tc>
        <w:tc>
          <w:tcPr>
            <w:tcW w:w="5220" w:type="dxa"/>
          </w:tcPr>
          <w:p w:rsidR="00955E0F" w:rsidRDefault="00955E0F">
            <w:pPr>
              <w:pStyle w:val="td"/>
            </w:pPr>
            <w:r>
              <w:t>_________________________________</w:t>
            </w:r>
          </w:p>
        </w:tc>
      </w:tr>
      <w:tr w:rsidR="00955E0F" w:rsidTr="003117FF">
        <w:tc>
          <w:tcPr>
            <w:tcW w:w="3750" w:type="dxa"/>
          </w:tcPr>
          <w:p w:rsidR="00955E0F" w:rsidRDefault="00955E0F">
            <w:pPr>
              <w:pStyle w:val="td"/>
            </w:pPr>
            <w:r>
              <w:t> </w:t>
            </w:r>
          </w:p>
        </w:tc>
        <w:tc>
          <w:tcPr>
            <w:tcW w:w="5220" w:type="dxa"/>
          </w:tcPr>
          <w:p w:rsidR="00955E0F" w:rsidRDefault="00955E0F">
            <w:pPr>
              <w:pStyle w:val="td"/>
            </w:pPr>
            <w:r>
              <w:t>Typed Printed Name</w:t>
            </w:r>
          </w:p>
        </w:tc>
      </w:tr>
      <w:tr w:rsidR="00955E0F" w:rsidTr="003117FF">
        <w:trPr>
          <w:trHeight w:val="342"/>
        </w:trPr>
        <w:tc>
          <w:tcPr>
            <w:tcW w:w="3750" w:type="dxa"/>
          </w:tcPr>
          <w:p w:rsidR="00955E0F" w:rsidRDefault="00955E0F">
            <w:pPr>
              <w:pStyle w:val="td"/>
            </w:pPr>
            <w:r>
              <w:t> </w:t>
            </w:r>
          </w:p>
        </w:tc>
        <w:tc>
          <w:tcPr>
            <w:tcW w:w="5220" w:type="dxa"/>
          </w:tcPr>
          <w:p w:rsidR="003117FF" w:rsidRDefault="00955E0F" w:rsidP="003117FF">
            <w:pPr>
              <w:pStyle w:val="td"/>
            </w:pPr>
            <w:r>
              <w:t>_________________________________</w:t>
            </w:r>
            <w:r w:rsidR="003117FF">
              <w:br/>
              <w:t>Address/Telephone/Facsimile/E-mail</w:t>
            </w:r>
            <w:r w:rsidR="003117FF">
              <w:br/>
              <w:t>_________________________________</w:t>
            </w:r>
            <w:r w:rsidR="003117FF">
              <w:br/>
              <w:t>District Court I.D. Number</w:t>
            </w:r>
          </w:p>
          <w:p w:rsidR="00955E0F" w:rsidRDefault="00955E0F">
            <w:pPr>
              <w:pStyle w:val="td"/>
            </w:pPr>
          </w:p>
        </w:tc>
      </w:tr>
      <w:tr w:rsidR="00955E0F" w:rsidTr="003117FF">
        <w:trPr>
          <w:trHeight w:val="270"/>
        </w:trPr>
        <w:tc>
          <w:tcPr>
            <w:tcW w:w="3750" w:type="dxa"/>
          </w:tcPr>
          <w:p w:rsidR="00955E0F" w:rsidRDefault="00955E0F">
            <w:pPr>
              <w:pStyle w:val="td"/>
            </w:pPr>
            <w:r>
              <w:t> </w:t>
            </w:r>
          </w:p>
        </w:tc>
        <w:tc>
          <w:tcPr>
            <w:tcW w:w="5220" w:type="dxa"/>
          </w:tcPr>
          <w:p w:rsidR="003117FF" w:rsidRDefault="003117FF">
            <w:pPr>
              <w:pStyle w:val="td"/>
            </w:pPr>
          </w:p>
        </w:tc>
      </w:tr>
      <w:tr w:rsidR="00955E0F" w:rsidTr="003117FF">
        <w:tc>
          <w:tcPr>
            <w:tcW w:w="3750" w:type="dxa"/>
          </w:tcPr>
          <w:p w:rsidR="00955E0F" w:rsidRDefault="00955E0F">
            <w:pPr>
              <w:pStyle w:val="td"/>
            </w:pPr>
            <w:r>
              <w:t> </w:t>
            </w:r>
          </w:p>
        </w:tc>
        <w:tc>
          <w:tcPr>
            <w:tcW w:w="5220" w:type="dxa"/>
          </w:tcPr>
          <w:p w:rsidR="00955E0F" w:rsidRDefault="00955E0F">
            <w:pPr>
              <w:pStyle w:val="p"/>
            </w:pPr>
            <w:r>
              <w:t> </w:t>
            </w:r>
          </w:p>
        </w:tc>
      </w:tr>
    </w:tbl>
    <w:p w:rsidR="00955E0F" w:rsidRDefault="00955E0F">
      <w:pPr>
        <w:pStyle w:val="p"/>
      </w:pPr>
      <w:r>
        <w:t> </w:t>
      </w:r>
    </w:p>
    <w:p w:rsidR="00955E0F" w:rsidRDefault="00955E0F">
      <w:pPr>
        <w:pStyle w:val="p"/>
      </w:pPr>
      <w:r>
        <w:t> </w:t>
      </w:r>
    </w:p>
    <w:p w:rsidR="00955E0F" w:rsidRDefault="00955E0F">
      <w:pPr>
        <w:pStyle w:val="p"/>
      </w:pPr>
      <w:r>
        <w:t> </w:t>
      </w:r>
    </w:p>
    <w:p w:rsidR="00955E0F" w:rsidRDefault="00955E0F">
      <w:pPr>
        <w:pStyle w:val="p"/>
      </w:pPr>
      <w:r>
        <w:t> </w:t>
      </w:r>
    </w:p>
    <w:sectPr w:rsidR="00955E0F">
      <w:headerReference w:type="default" r:id="rId6"/>
      <w:footerReference w:type="even" r:id="rId7"/>
      <w:footerReference w:type="default" r:id="rId8"/>
      <w:pgSz w:w="12240" w:h="15840"/>
      <w:pgMar w:top="1440" w:right="1440" w:bottom="1440" w:left="1440" w:header="720" w:footer="3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E0F" w:rsidRDefault="00955E0F">
      <w:r>
        <w:separator/>
      </w:r>
    </w:p>
  </w:endnote>
  <w:endnote w:type="continuationSeparator" w:id="0">
    <w:p w:rsidR="00955E0F" w:rsidRDefault="00955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E0F" w:rsidRDefault="00955E0F">
    <w:pPr>
      <w:pStyle w:val="p"/>
      <w:jc w:val="center"/>
    </w:pPr>
    <w:r>
      <w:t xml:space="preserve">- </w:t>
    </w: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E0F" w:rsidRDefault="00955E0F">
    <w:pPr>
      <w:pStyle w:val="p"/>
      <w:jc w:val="center"/>
    </w:pPr>
    <w:r>
      <w:t xml:space="preserve">- </w:t>
    </w:r>
    <w:r>
      <w:rPr>
        <w:rStyle w:val="variable"/>
      </w:rPr>
      <w:fldChar w:fldCharType="begin"/>
    </w:r>
    <w:r>
      <w:rPr>
        <w:rStyle w:val="variable"/>
      </w:rPr>
      <w:instrText xml:space="preserve"> PAGE \* Arabic  \* MERGEFORMAT </w:instrText>
    </w:r>
    <w:r>
      <w:rPr>
        <w:rStyle w:val="variable"/>
      </w:rPr>
      <w:fldChar w:fldCharType="separate"/>
    </w:r>
    <w:r w:rsidR="000D6C11">
      <w:rPr>
        <w:rStyle w:val="variable"/>
        <w:noProof/>
      </w:rPr>
      <w:t>1</w:t>
    </w:r>
    <w:r>
      <w:rPr>
        <w:rStyle w:val="variable"/>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E0F" w:rsidRDefault="00955E0F">
      <w:r>
        <w:separator/>
      </w:r>
    </w:p>
  </w:footnote>
  <w:footnote w:type="continuationSeparator" w:id="0">
    <w:p w:rsidR="00955E0F" w:rsidRDefault="00955E0F">
      <w:r>
        <w:continuationSeparator/>
      </w:r>
    </w:p>
  </w:footnote>
  <w:footnote w:id="1">
    <w:p w:rsidR="00955E0F" w:rsidRDefault="00955E0F">
      <w:pPr>
        <w:pStyle w:val="footnoteBlock"/>
      </w:pPr>
      <w:r>
        <w:rPr>
          <w:rStyle w:val="FootnoteReference"/>
        </w:rPr>
        <w:footnoteRef/>
      </w:r>
      <w:r>
        <w:rPr>
          <w:rStyle w:val="span"/>
        </w:rPr>
        <w:t xml:space="preserve"> This form is for use in chapter 7 and chapter 11 cases when the Court’s equity analysis for co-owned property is applicable pursuant to </w:t>
      </w:r>
      <w:r>
        <w:rPr>
          <w:rStyle w:val="u"/>
        </w:rPr>
        <w:t>In re Ware</w:t>
      </w:r>
      <w:r>
        <w:rPr>
          <w:rStyle w:val="span"/>
        </w:rPr>
        <w:t>, 274 B.R. 206 (Bankr. D.S.C. 2001).</w:t>
      </w:r>
    </w:p>
  </w:footnote>
  <w:footnote w:id="2">
    <w:p w:rsidR="00955E0F" w:rsidRDefault="00955E0F">
      <w:pPr>
        <w:pStyle w:val="footnoteBlock"/>
      </w:pPr>
      <w:r>
        <w:rPr>
          <w:rStyle w:val="FootnoteReference"/>
        </w:rPr>
        <w:footnoteRef/>
      </w:r>
      <w:r>
        <w:rPr>
          <w:rStyle w:val="span"/>
        </w:rPr>
        <w:t> Deduct any senior judicial liens for which the debtor and co-owner(s) are jointly liable here. Senior judicial liens encumbering debtor’s interest only should be deducted from debtor’s non-exempt equity.</w:t>
      </w:r>
    </w:p>
  </w:footnote>
  <w:footnote w:id="3">
    <w:p w:rsidR="00955E0F" w:rsidRDefault="00955E0F">
      <w:pPr>
        <w:pStyle w:val="footnoteBlock"/>
      </w:pPr>
      <w:r>
        <w:rPr>
          <w:rStyle w:val="FootnoteReference"/>
        </w:rPr>
        <w:footnoteRef/>
      </w:r>
      <w:r>
        <w:rPr>
          <w:rStyle w:val="span"/>
        </w:rPr>
        <w:t> For example, for property owned in equal shares by two individuals, multiply by ½.</w:t>
      </w:r>
    </w:p>
  </w:footnote>
  <w:footnote w:id="4">
    <w:p w:rsidR="00955E0F" w:rsidRDefault="00955E0F">
      <w:pPr>
        <w:pStyle w:val="footnoteBlock"/>
      </w:pPr>
      <w:r>
        <w:rPr>
          <w:rStyle w:val="FootnoteReference"/>
        </w:rPr>
        <w:footnoteRef/>
      </w:r>
      <w:r>
        <w:rPr>
          <w:rStyle w:val="span"/>
        </w:rPr>
        <w:t xml:space="preserve"> Deduct any senior judicial liens encumbering debtor’s interest only here. </w:t>
      </w:r>
      <w:r>
        <w:rPr>
          <w:rStyle w:val="u"/>
        </w:rPr>
        <w:t>SeeWare</w:t>
      </w:r>
      <w:r>
        <w:rPr>
          <w:rStyle w:val="span"/>
        </w:rPr>
        <w:t>, 274 B.R. at 209 (stating that under the debtor’s equity analysis, judicial liens according to their priority remain to the extent of available non-exempt equity and the remainder of judicial liens are avoided).</w:t>
      </w:r>
    </w:p>
  </w:footnote>
  <w:footnote w:id="5">
    <w:p w:rsidR="00955E0F" w:rsidRDefault="00955E0F">
      <w:pPr>
        <w:pStyle w:val="footnoteBlock"/>
      </w:pPr>
      <w:r>
        <w:rPr>
          <w:rStyle w:val="FootnoteReference"/>
        </w:rPr>
        <w:footnoteRef/>
      </w:r>
      <w:r>
        <w:rPr>
          <w:rStyle w:val="span"/>
        </w:rPr>
        <w:t> The judicial lien is avoided to the extent that the estimated judicial lien exceeds the available non-exempt equity.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E0F" w:rsidRDefault="00955E0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17FF"/>
    <w:rsid w:val="000D6C11"/>
    <w:rsid w:val="003117FF"/>
    <w:rsid w:val="00955E0F"/>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chartTrackingRefBased/>
  <w15:docId w15:val="{DDE65A68-FC4A-43D2-8A28-6C5A73E10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qFormat/>
    <w:pPr>
      <w:outlineLvl w:val="0"/>
    </w:pPr>
  </w:style>
  <w:style w:type="paragraph" w:styleId="Heading2">
    <w:name w:val="heading 2"/>
    <w:qFormat/>
    <w:pPr>
      <w:outlineLvl w:val="1"/>
    </w:pPr>
  </w:style>
  <w:style w:type="paragraph" w:styleId="Heading3">
    <w:name w:val="heading 3"/>
    <w:qFormat/>
    <w:pPr>
      <w:outlineLvl w:val="2"/>
    </w:pPr>
  </w:style>
  <w:style w:type="paragraph" w:styleId="Heading4">
    <w:name w:val="heading 4"/>
    <w:qFormat/>
    <w:pPr>
      <w:outlineLvl w:val="3"/>
    </w:pPr>
  </w:style>
  <w:style w:type="paragraph" w:styleId="Heading5">
    <w:name w:val="heading 5"/>
    <w:qFormat/>
    <w:pPr>
      <w:outlineLvl w:val="4"/>
    </w:pPr>
  </w:style>
  <w:style w:type="paragraph" w:styleId="Heading6">
    <w:name w:val="heading 6"/>
    <w:qFormat/>
    <w:pPr>
      <w:outlineLvl w:val="5"/>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pPr>
      <w:spacing w:before="224" w:after="224"/>
    </w:pPr>
    <w:rPr>
      <w:color w:val="000000"/>
    </w:rPr>
  </w:style>
  <w:style w:type="character" w:customStyle="1" w:styleId="variable">
    <w:name w:val="variable"/>
    <w:rPr>
      <w:color w:val="000000"/>
      <w:sz w:val="20"/>
      <w:szCs w:val="20"/>
    </w:rPr>
  </w:style>
  <w:style w:type="paragraph" w:customStyle="1" w:styleId="h1">
    <w:name w:val="h1"/>
    <w:basedOn w:val="Heading1"/>
    <w:pPr>
      <w:keepNext/>
      <w:keepLines/>
      <w:pageBreakBefore/>
      <w:spacing w:before="268" w:after="268"/>
    </w:pPr>
    <w:rPr>
      <w:b/>
      <w:bCs/>
      <w:color w:val="000000"/>
      <w:sz w:val="40"/>
      <w:szCs w:val="40"/>
    </w:rPr>
  </w:style>
  <w:style w:type="paragraph" w:styleId="TOC1">
    <w:name w:val="toc 1"/>
    <w:semiHidden/>
    <w:pPr>
      <w:tabs>
        <w:tab w:val="right" w:leader="dot" w:pos="7900"/>
      </w:tabs>
      <w:spacing w:before="268" w:after="268"/>
    </w:pPr>
    <w:rPr>
      <w:b/>
      <w:bCs/>
      <w:sz w:val="24"/>
      <w:szCs w:val="24"/>
    </w:rPr>
  </w:style>
  <w:style w:type="paragraph" w:styleId="TOC2">
    <w:name w:val="toc 2"/>
    <w:semiHidden/>
    <w:pPr>
      <w:tabs>
        <w:tab w:val="right" w:leader="dot" w:pos="7900"/>
      </w:tabs>
      <w:spacing w:before="268" w:after="268"/>
      <w:ind w:left="200"/>
    </w:pPr>
    <w:rPr>
      <w:sz w:val="24"/>
      <w:szCs w:val="24"/>
    </w:rPr>
  </w:style>
  <w:style w:type="paragraph" w:styleId="TOC3">
    <w:name w:val="toc 3"/>
    <w:semiHidden/>
    <w:pPr>
      <w:tabs>
        <w:tab w:val="right" w:leader="dot" w:pos="7900"/>
      </w:tabs>
      <w:spacing w:before="268" w:after="268"/>
      <w:ind w:left="400"/>
    </w:pPr>
    <w:rPr>
      <w:sz w:val="24"/>
      <w:szCs w:val="24"/>
    </w:rPr>
  </w:style>
  <w:style w:type="paragraph" w:styleId="TOC4">
    <w:name w:val="toc 4"/>
    <w:semiHidden/>
    <w:pPr>
      <w:tabs>
        <w:tab w:val="right" w:leader="dot" w:pos="7900"/>
      </w:tabs>
      <w:spacing w:before="268" w:after="268"/>
      <w:ind w:left="600"/>
    </w:pPr>
    <w:rPr>
      <w:sz w:val="24"/>
      <w:szCs w:val="24"/>
    </w:rPr>
  </w:style>
  <w:style w:type="paragraph" w:styleId="TOC5">
    <w:name w:val="toc 5"/>
    <w:semiHidden/>
    <w:pPr>
      <w:tabs>
        <w:tab w:val="right" w:leader="dot" w:pos="7900"/>
      </w:tabs>
      <w:spacing w:before="268" w:after="268"/>
      <w:ind w:left="800"/>
    </w:pPr>
    <w:rPr>
      <w:sz w:val="24"/>
      <w:szCs w:val="24"/>
    </w:rPr>
  </w:style>
  <w:style w:type="paragraph" w:styleId="TOC6">
    <w:name w:val="toc 6"/>
    <w:semiHidden/>
    <w:pPr>
      <w:tabs>
        <w:tab w:val="right" w:leader="dot" w:pos="7900"/>
      </w:tabs>
      <w:spacing w:before="268" w:after="268"/>
      <w:ind w:left="1000"/>
    </w:pPr>
    <w:rPr>
      <w:sz w:val="24"/>
      <w:szCs w:val="24"/>
    </w:rPr>
  </w:style>
  <w:style w:type="paragraph" w:styleId="TOC7">
    <w:name w:val="toc 7"/>
    <w:semiHidden/>
    <w:pPr>
      <w:tabs>
        <w:tab w:val="right" w:leader="dot" w:pos="7900"/>
      </w:tabs>
      <w:spacing w:before="268" w:after="268"/>
      <w:ind w:left="1200"/>
    </w:pPr>
    <w:rPr>
      <w:sz w:val="24"/>
      <w:szCs w:val="24"/>
    </w:rPr>
  </w:style>
  <w:style w:type="paragraph" w:styleId="TOC8">
    <w:name w:val="toc 8"/>
    <w:semiHidden/>
    <w:pPr>
      <w:tabs>
        <w:tab w:val="right" w:leader="dot" w:pos="7900"/>
      </w:tabs>
      <w:spacing w:before="268" w:after="268"/>
      <w:ind w:left="1400"/>
    </w:pPr>
    <w:rPr>
      <w:sz w:val="24"/>
      <w:szCs w:val="24"/>
    </w:rPr>
  </w:style>
  <w:style w:type="paragraph" w:styleId="TOC9">
    <w:name w:val="toc 9"/>
    <w:semiHidden/>
    <w:pPr>
      <w:tabs>
        <w:tab w:val="right" w:leader="dot" w:pos="7900"/>
      </w:tabs>
      <w:spacing w:before="268" w:after="268"/>
      <w:ind w:left="1600"/>
    </w:pPr>
    <w:rPr>
      <w:sz w:val="24"/>
      <w:szCs w:val="24"/>
    </w:rPr>
  </w:style>
  <w:style w:type="character" w:styleId="FootnoteReference">
    <w:name w:val="footnote reference"/>
    <w:semiHidden/>
    <w:rPr>
      <w:vertAlign w:val="superscript"/>
    </w:rPr>
  </w:style>
  <w:style w:type="character" w:customStyle="1" w:styleId="span">
    <w:name w:val="span"/>
    <w:rPr>
      <w:color w:val="000000"/>
      <w:sz w:val="16"/>
      <w:szCs w:val="16"/>
    </w:rPr>
  </w:style>
  <w:style w:type="paragraph" w:customStyle="1" w:styleId="footnoteBlock">
    <w:name w:val="footnoteBlock"/>
    <w:rPr>
      <w:color w:val="000000"/>
    </w:rPr>
  </w:style>
  <w:style w:type="character" w:customStyle="1" w:styleId="u">
    <w:name w:val="u"/>
    <w:rPr>
      <w:color w:val="000000"/>
      <w:sz w:val="16"/>
      <w:szCs w:val="16"/>
      <w:u w:val="single"/>
    </w:rPr>
  </w:style>
  <w:style w:type="paragraph" w:customStyle="1" w:styleId="pNormalWeb">
    <w:name w:val="p_NormalWeb"/>
    <w:pPr>
      <w:spacing w:before="224" w:after="224"/>
    </w:pPr>
    <w:rPr>
      <w:color w:val="000000"/>
    </w:rPr>
  </w:style>
  <w:style w:type="paragraph" w:customStyle="1" w:styleId="td">
    <w:name w:val="td"/>
    <w:rPr>
      <w:color w:val="000000"/>
    </w:rPr>
  </w:style>
  <w:style w:type="character" w:customStyle="1" w:styleId="i">
    <w:name w:val="i"/>
    <w:rPr>
      <w:i/>
      <w:iCs/>
      <w:color w:val="000000"/>
      <w:sz w:val="20"/>
      <w:szCs w:val="20"/>
    </w:rPr>
  </w:style>
  <w:style w:type="character" w:styleId="Hyperlink">
    <w:name w:val="Hyperlink"/>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Table_of_Contents</vt:lpstr>
    </vt:vector>
  </TitlesOfParts>
  <Company>MadCap Software</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Table_of_Contents</dc:title>
  <dc:subject/>
  <dc:creator>MadCap Software</dc:creator>
  <cp:keywords/>
  <cp:lastModifiedBy>Lisa Huppertz</cp:lastModifiedBy>
  <cp:revision>2</cp:revision>
  <cp:lastPrinted>1601-01-01T00:00:00Z</cp:lastPrinted>
  <dcterms:created xsi:type="dcterms:W3CDTF">2017-12-05T21:52:00Z</dcterms:created>
  <dcterms:modified xsi:type="dcterms:W3CDTF">2017-12-05T21:52:00Z</dcterms:modified>
</cp:coreProperties>
</file>